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601F2" w14:textId="6522E1C3"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spacing w:line="360" w:lineRule="auto"/>
        <w:jc w:val="center"/>
        <w:rPr>
          <w:sz w:val="32"/>
          <w:szCs w:val="32"/>
        </w:rPr>
      </w:pPr>
    </w:p>
    <w:p w14:paraId="094561CE" w14:textId="77777777"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spacing w:line="360" w:lineRule="auto"/>
        <w:jc w:val="center"/>
        <w:rPr>
          <w:sz w:val="32"/>
          <w:szCs w:val="32"/>
        </w:rPr>
      </w:pPr>
    </w:p>
    <w:p w14:paraId="45C5DADA" w14:textId="77777777"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spacing w:line="360" w:lineRule="auto"/>
        <w:jc w:val="center"/>
        <w:rPr>
          <w:sz w:val="32"/>
          <w:szCs w:val="32"/>
        </w:rPr>
      </w:pPr>
    </w:p>
    <w:p w14:paraId="5269ADD1" w14:textId="77777777"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spacing w:line="360" w:lineRule="auto"/>
        <w:jc w:val="center"/>
        <w:rPr>
          <w:sz w:val="32"/>
          <w:szCs w:val="32"/>
        </w:rPr>
      </w:pPr>
    </w:p>
    <w:p w14:paraId="3B3E15D9"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BEFORE THE CANADIAN RADIO-TELEVISION</w:t>
      </w:r>
    </w:p>
    <w:p w14:paraId="57D90763"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AND TELECOMMUNICATIONS COMMISSION</w:t>
      </w:r>
    </w:p>
    <w:p w14:paraId="3BFD4DD6"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7F9FE1A8"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33A0DED8"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3D91E534"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IN THE MATTER OF AN APPLICATION BY</w:t>
      </w:r>
    </w:p>
    <w:p w14:paraId="2112C27A" w14:textId="77777777" w:rsidR="005A356B" w:rsidRPr="00EC0718" w:rsidRDefault="005A69F0"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BELL EXPRESSVU</w:t>
      </w:r>
    </w:p>
    <w:p w14:paraId="67BB79D7"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PURSUANT TO PART 1 OF THE</w:t>
      </w:r>
    </w:p>
    <w:p w14:paraId="1E3E1DCD"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i/>
          <w:sz w:val="32"/>
          <w:szCs w:val="32"/>
        </w:rPr>
        <w:t>CANADIAN RADIO-TELEVISION AND TELECOMMUNICATIONS COMMISSION</w:t>
      </w:r>
      <w:r w:rsidRPr="00EC0718">
        <w:rPr>
          <w:b/>
          <w:i/>
          <w:iCs/>
          <w:sz w:val="32"/>
          <w:szCs w:val="32"/>
        </w:rPr>
        <w:t xml:space="preserve"> RULES OF PRACTICE AND PROCEDURE</w:t>
      </w:r>
    </w:p>
    <w:p w14:paraId="5009FC24"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2A1AD389"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6231FC2B"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32A3EFD0"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5633D182"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1CF944FE" w14:textId="00BBA245" w:rsidR="005A69F0" w:rsidRPr="00EC0718" w:rsidRDefault="00C855F0" w:rsidP="005A69F0">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TO AMEND CERTAIN CONDITIONS OF LICENCE APPLICABLE TO BELL EXPRESSVU</w:t>
      </w:r>
      <w:r>
        <w:rPr>
          <w:b/>
          <w:sz w:val="32"/>
          <w:szCs w:val="32"/>
        </w:rPr>
        <w:t>'</w:t>
      </w:r>
      <w:r w:rsidRPr="00EC0718">
        <w:rPr>
          <w:b/>
          <w:sz w:val="32"/>
          <w:szCs w:val="32"/>
        </w:rPr>
        <w:t>S SATELLITE RELAY DISTRIBUTION UNDERTAKING (SRDU) LICENCE –SUPPLEMENTARY BRIEF</w:t>
      </w:r>
    </w:p>
    <w:p w14:paraId="21D872CE"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07B91AF6" w14:textId="77777777" w:rsidR="005A356B" w:rsidRPr="00EC0718"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p>
    <w:p w14:paraId="634C05D7" w14:textId="6DD2EA2A" w:rsidR="005A356B" w:rsidRDefault="005A356B"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lang w:val="en-CA"/>
        </w:rPr>
      </w:pPr>
    </w:p>
    <w:p w14:paraId="4F6E4DC2" w14:textId="77777777" w:rsidR="00A77E8C" w:rsidRPr="00EC0718" w:rsidRDefault="00A77E8C"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lang w:val="en-CA"/>
        </w:rPr>
      </w:pPr>
    </w:p>
    <w:p w14:paraId="7CC4CC17" w14:textId="77777777" w:rsidR="005A69F0" w:rsidRPr="00EC0718" w:rsidRDefault="005A69F0"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lang w:val="en-CA"/>
        </w:rPr>
      </w:pPr>
    </w:p>
    <w:p w14:paraId="56AC0FBF" w14:textId="404D171F" w:rsidR="005A356B" w:rsidRDefault="005A69F0"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sidRPr="00EC0718">
        <w:rPr>
          <w:b/>
          <w:sz w:val="32"/>
          <w:szCs w:val="32"/>
        </w:rPr>
        <w:t>1</w:t>
      </w:r>
      <w:r w:rsidR="00D93716">
        <w:rPr>
          <w:b/>
          <w:sz w:val="32"/>
          <w:szCs w:val="32"/>
        </w:rPr>
        <w:t>8</w:t>
      </w:r>
      <w:r w:rsidRPr="00EC0718">
        <w:rPr>
          <w:b/>
          <w:sz w:val="32"/>
          <w:szCs w:val="32"/>
        </w:rPr>
        <w:t xml:space="preserve"> MARCH 2024</w:t>
      </w:r>
    </w:p>
    <w:p w14:paraId="687CC3EB" w14:textId="4C3CA4E5" w:rsidR="00A77E8C" w:rsidRPr="00EC0718" w:rsidRDefault="00A77E8C" w:rsidP="005A356B">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pPr>
      <w:r>
        <w:rPr>
          <w:b/>
          <w:sz w:val="32"/>
          <w:szCs w:val="32"/>
        </w:rPr>
        <w:t>16 MAY 2024 (Revised)</w:t>
      </w:r>
    </w:p>
    <w:p w14:paraId="67978F9C" w14:textId="77777777"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spacing w:line="360" w:lineRule="auto"/>
        <w:jc w:val="center"/>
        <w:rPr>
          <w:b/>
          <w:sz w:val="32"/>
          <w:szCs w:val="32"/>
        </w:rPr>
      </w:pPr>
    </w:p>
    <w:p w14:paraId="3C6D3D9F" w14:textId="77777777" w:rsidR="00AA324E" w:rsidRPr="00EC0718" w:rsidRDefault="00AA324E" w:rsidP="00AA324E">
      <w:pPr>
        <w:pBdr>
          <w:top w:val="single" w:sz="36" w:space="1" w:color="C0C0C0" w:shadow="1"/>
          <w:left w:val="single" w:sz="36" w:space="4" w:color="C0C0C0" w:shadow="1"/>
          <w:bottom w:val="single" w:sz="36" w:space="1" w:color="C0C0C0" w:shadow="1"/>
          <w:right w:val="single" w:sz="36" w:space="4" w:color="C0C0C0" w:shadow="1"/>
        </w:pBdr>
        <w:jc w:val="center"/>
        <w:rPr>
          <w:b/>
          <w:sz w:val="32"/>
          <w:szCs w:val="32"/>
        </w:rPr>
        <w:sectPr w:rsidR="00AA324E" w:rsidRPr="00EC0718" w:rsidSect="00E173C5">
          <w:headerReference w:type="first" r:id="rId8"/>
          <w:pgSz w:w="12240" w:h="15840" w:code="1"/>
          <w:pgMar w:top="1080" w:right="1440" w:bottom="1080" w:left="1440" w:header="720" w:footer="720" w:gutter="0"/>
          <w:cols w:space="708"/>
          <w:titlePg/>
          <w:docGrid w:linePitch="360"/>
        </w:sectPr>
      </w:pPr>
    </w:p>
    <w:p w14:paraId="45E1D075" w14:textId="77777777" w:rsidR="00AA324E" w:rsidRPr="00EC0718" w:rsidRDefault="00AA324E" w:rsidP="00AA324E">
      <w:pPr>
        <w:jc w:val="center"/>
        <w:rPr>
          <w:rFonts w:cs="Arial"/>
          <w:b/>
          <w:szCs w:val="22"/>
          <w:u w:val="single"/>
        </w:rPr>
      </w:pPr>
      <w:r w:rsidRPr="00EC0718">
        <w:rPr>
          <w:rFonts w:cs="Arial"/>
          <w:b/>
          <w:szCs w:val="22"/>
          <w:u w:val="single"/>
        </w:rPr>
        <w:lastRenderedPageBreak/>
        <w:t>Table of Contents</w:t>
      </w:r>
    </w:p>
    <w:p w14:paraId="0306EE3A" w14:textId="77777777" w:rsidR="00AA324E" w:rsidRPr="00EC0718" w:rsidRDefault="00AA324E" w:rsidP="00AA324E">
      <w:pPr>
        <w:rPr>
          <w:rFonts w:cs="Arial"/>
          <w:szCs w:val="22"/>
        </w:rPr>
      </w:pPr>
    </w:p>
    <w:p w14:paraId="3BEDD2C1" w14:textId="77777777" w:rsidR="00AA324E" w:rsidRPr="00EC0718" w:rsidRDefault="00AA324E" w:rsidP="00AA324E">
      <w:pPr>
        <w:tabs>
          <w:tab w:val="right" w:pos="9360"/>
        </w:tabs>
        <w:jc w:val="right"/>
        <w:rPr>
          <w:rFonts w:cs="Arial"/>
          <w:b/>
          <w:szCs w:val="22"/>
          <w:u w:val="single"/>
        </w:rPr>
      </w:pPr>
      <w:r w:rsidRPr="00EC0718">
        <w:rPr>
          <w:rFonts w:cs="Arial"/>
          <w:b/>
          <w:szCs w:val="22"/>
          <w:u w:val="single"/>
        </w:rPr>
        <w:t>Page</w:t>
      </w:r>
    </w:p>
    <w:p w14:paraId="2DBB0BFC" w14:textId="77777777" w:rsidR="00AA324E" w:rsidRPr="00EC0718" w:rsidRDefault="00AA324E" w:rsidP="00AA324E">
      <w:pPr>
        <w:rPr>
          <w:rFonts w:cs="Arial"/>
          <w:szCs w:val="22"/>
        </w:rPr>
      </w:pPr>
    </w:p>
    <w:p w14:paraId="71226EAA" w14:textId="694AD209" w:rsidR="00030F5F" w:rsidRDefault="005F6971">
      <w:pPr>
        <w:pStyle w:val="TOC1"/>
        <w:rPr>
          <w:rFonts w:asciiTheme="minorHAnsi" w:eastAsiaTheme="minorEastAsia" w:hAnsiTheme="minorHAnsi" w:cstheme="minorBidi"/>
          <w:noProof/>
          <w:szCs w:val="22"/>
          <w:lang w:val="en-CA"/>
        </w:rPr>
      </w:pPr>
      <w:r w:rsidRPr="00EC0718">
        <w:rPr>
          <w:rFonts w:cs="Arial"/>
          <w:szCs w:val="22"/>
        </w:rPr>
        <w:fldChar w:fldCharType="begin"/>
      </w:r>
      <w:r w:rsidRPr="00EC0718">
        <w:rPr>
          <w:rFonts w:cs="Arial"/>
          <w:szCs w:val="22"/>
        </w:rPr>
        <w:instrText xml:space="preserve"> TOC \o "1-3" \h \z \u </w:instrText>
      </w:r>
      <w:r w:rsidRPr="00EC0718">
        <w:rPr>
          <w:rFonts w:cs="Arial"/>
          <w:szCs w:val="22"/>
        </w:rPr>
        <w:fldChar w:fldCharType="separate"/>
      </w:r>
      <w:hyperlink w:anchor="_Toc161652247" w:history="1">
        <w:r w:rsidR="00030F5F" w:rsidRPr="003A098F">
          <w:rPr>
            <w:rStyle w:val="Hyperlink"/>
            <w:noProof/>
          </w:rPr>
          <w:t>1.0</w:t>
        </w:r>
        <w:r w:rsidR="00030F5F">
          <w:rPr>
            <w:rFonts w:asciiTheme="minorHAnsi" w:eastAsiaTheme="minorEastAsia" w:hAnsiTheme="minorHAnsi" w:cstheme="minorBidi"/>
            <w:noProof/>
            <w:szCs w:val="22"/>
            <w:lang w:val="en-CA"/>
          </w:rPr>
          <w:tab/>
        </w:r>
        <w:r w:rsidR="00030F5F" w:rsidRPr="003A098F">
          <w:rPr>
            <w:rStyle w:val="Hyperlink"/>
            <w:noProof/>
          </w:rPr>
          <w:t>INTRODUCTION AND EXECUTIVE SUMMARY</w:t>
        </w:r>
        <w:r w:rsidR="00030F5F">
          <w:rPr>
            <w:noProof/>
            <w:webHidden/>
          </w:rPr>
          <w:tab/>
        </w:r>
        <w:r w:rsidR="00030F5F">
          <w:rPr>
            <w:noProof/>
            <w:webHidden/>
          </w:rPr>
          <w:fldChar w:fldCharType="begin"/>
        </w:r>
        <w:r w:rsidR="00030F5F">
          <w:rPr>
            <w:noProof/>
            <w:webHidden/>
          </w:rPr>
          <w:instrText xml:space="preserve"> PAGEREF _Toc161652247 \h </w:instrText>
        </w:r>
        <w:r w:rsidR="00030F5F">
          <w:rPr>
            <w:noProof/>
            <w:webHidden/>
          </w:rPr>
        </w:r>
        <w:r w:rsidR="00030F5F">
          <w:rPr>
            <w:noProof/>
            <w:webHidden/>
          </w:rPr>
          <w:fldChar w:fldCharType="separate"/>
        </w:r>
        <w:r w:rsidR="004A71C0">
          <w:rPr>
            <w:noProof/>
            <w:webHidden/>
          </w:rPr>
          <w:t>3</w:t>
        </w:r>
        <w:r w:rsidR="00030F5F">
          <w:rPr>
            <w:noProof/>
            <w:webHidden/>
          </w:rPr>
          <w:fldChar w:fldCharType="end"/>
        </w:r>
      </w:hyperlink>
    </w:p>
    <w:p w14:paraId="50FC5E93" w14:textId="63327617" w:rsidR="00030F5F" w:rsidRDefault="00000000">
      <w:pPr>
        <w:pStyle w:val="TOC1"/>
        <w:rPr>
          <w:rFonts w:asciiTheme="minorHAnsi" w:eastAsiaTheme="minorEastAsia" w:hAnsiTheme="minorHAnsi" w:cstheme="minorBidi"/>
          <w:noProof/>
          <w:szCs w:val="22"/>
          <w:lang w:val="en-CA"/>
        </w:rPr>
      </w:pPr>
      <w:hyperlink w:anchor="_Toc161652248" w:history="1">
        <w:r w:rsidR="00030F5F" w:rsidRPr="003A098F">
          <w:rPr>
            <w:rStyle w:val="Hyperlink"/>
            <w:noProof/>
          </w:rPr>
          <w:t>2.0</w:t>
        </w:r>
        <w:r w:rsidR="00030F5F">
          <w:rPr>
            <w:rFonts w:asciiTheme="minorHAnsi" w:eastAsiaTheme="minorEastAsia" w:hAnsiTheme="minorHAnsi" w:cstheme="minorBidi"/>
            <w:noProof/>
            <w:szCs w:val="22"/>
            <w:lang w:val="en-CA"/>
          </w:rPr>
          <w:tab/>
        </w:r>
        <w:r w:rsidR="00030F5F" w:rsidRPr="003A098F">
          <w:rPr>
            <w:rStyle w:val="Hyperlink"/>
            <w:noProof/>
          </w:rPr>
          <w:t>THE STATE OF THE TRADITIONAL BROADCASTING INDUSTRY</w:t>
        </w:r>
        <w:r w:rsidR="00030F5F">
          <w:rPr>
            <w:noProof/>
            <w:webHidden/>
          </w:rPr>
          <w:tab/>
        </w:r>
        <w:r w:rsidR="00030F5F">
          <w:rPr>
            <w:noProof/>
            <w:webHidden/>
          </w:rPr>
          <w:fldChar w:fldCharType="begin"/>
        </w:r>
        <w:r w:rsidR="00030F5F">
          <w:rPr>
            <w:noProof/>
            <w:webHidden/>
          </w:rPr>
          <w:instrText xml:space="preserve"> PAGEREF _Toc161652248 \h </w:instrText>
        </w:r>
        <w:r w:rsidR="00030F5F">
          <w:rPr>
            <w:noProof/>
            <w:webHidden/>
          </w:rPr>
        </w:r>
        <w:r w:rsidR="00030F5F">
          <w:rPr>
            <w:noProof/>
            <w:webHidden/>
          </w:rPr>
          <w:fldChar w:fldCharType="separate"/>
        </w:r>
        <w:r w:rsidR="004A71C0">
          <w:rPr>
            <w:noProof/>
            <w:webHidden/>
          </w:rPr>
          <w:t>5</w:t>
        </w:r>
        <w:r w:rsidR="00030F5F">
          <w:rPr>
            <w:noProof/>
            <w:webHidden/>
          </w:rPr>
          <w:fldChar w:fldCharType="end"/>
        </w:r>
      </w:hyperlink>
    </w:p>
    <w:p w14:paraId="7CC5201D" w14:textId="65982E2F" w:rsidR="00030F5F" w:rsidRDefault="00000000">
      <w:pPr>
        <w:pStyle w:val="TOC1"/>
        <w:rPr>
          <w:rFonts w:asciiTheme="minorHAnsi" w:eastAsiaTheme="minorEastAsia" w:hAnsiTheme="minorHAnsi" w:cstheme="minorBidi"/>
          <w:noProof/>
          <w:szCs w:val="22"/>
          <w:lang w:val="en-CA"/>
        </w:rPr>
      </w:pPr>
      <w:hyperlink w:anchor="_Toc161652249" w:history="1">
        <w:r w:rsidR="00030F5F" w:rsidRPr="003A098F">
          <w:rPr>
            <w:rStyle w:val="Hyperlink"/>
            <w:noProof/>
            <w:lang w:val="en-CA"/>
          </w:rPr>
          <w:t>3.0</w:t>
        </w:r>
        <w:r w:rsidR="00030F5F">
          <w:rPr>
            <w:rFonts w:asciiTheme="minorHAnsi" w:eastAsiaTheme="minorEastAsia" w:hAnsiTheme="minorHAnsi" w:cstheme="minorBidi"/>
            <w:noProof/>
            <w:szCs w:val="22"/>
            <w:lang w:val="en-CA"/>
          </w:rPr>
          <w:tab/>
        </w:r>
        <w:r w:rsidR="00030F5F" w:rsidRPr="003A098F">
          <w:rPr>
            <w:rStyle w:val="Hyperlink"/>
            <w:noProof/>
            <w:lang w:val="en-CA"/>
          </w:rPr>
          <w:t xml:space="preserve">BELL EXPRESSVU'S SRDU BUSINESS DOES NOT MATERIALLY CONTRIBUTE TO THE OBJECTIVES OF THE </w:t>
        </w:r>
        <w:r w:rsidR="00030F5F" w:rsidRPr="003A098F">
          <w:rPr>
            <w:rStyle w:val="Hyperlink"/>
            <w:i/>
            <w:noProof/>
            <w:lang w:val="en-CA"/>
          </w:rPr>
          <w:t>ACT</w:t>
        </w:r>
        <w:r w:rsidR="00030F5F">
          <w:rPr>
            <w:noProof/>
            <w:webHidden/>
          </w:rPr>
          <w:tab/>
        </w:r>
        <w:r w:rsidR="00030F5F">
          <w:rPr>
            <w:noProof/>
            <w:webHidden/>
          </w:rPr>
          <w:fldChar w:fldCharType="begin"/>
        </w:r>
        <w:r w:rsidR="00030F5F">
          <w:rPr>
            <w:noProof/>
            <w:webHidden/>
          </w:rPr>
          <w:instrText xml:space="preserve"> PAGEREF _Toc161652249 \h </w:instrText>
        </w:r>
        <w:r w:rsidR="00030F5F">
          <w:rPr>
            <w:noProof/>
            <w:webHidden/>
          </w:rPr>
        </w:r>
        <w:r w:rsidR="00030F5F">
          <w:rPr>
            <w:noProof/>
            <w:webHidden/>
          </w:rPr>
          <w:fldChar w:fldCharType="separate"/>
        </w:r>
        <w:r w:rsidR="004A71C0">
          <w:rPr>
            <w:noProof/>
            <w:webHidden/>
          </w:rPr>
          <w:t>7</w:t>
        </w:r>
        <w:r w:rsidR="00030F5F">
          <w:rPr>
            <w:noProof/>
            <w:webHidden/>
          </w:rPr>
          <w:fldChar w:fldCharType="end"/>
        </w:r>
      </w:hyperlink>
    </w:p>
    <w:p w14:paraId="316DFC43" w14:textId="4CABF9CE" w:rsidR="00030F5F" w:rsidRDefault="00000000">
      <w:pPr>
        <w:pStyle w:val="TOC1"/>
        <w:rPr>
          <w:rFonts w:asciiTheme="minorHAnsi" w:eastAsiaTheme="minorEastAsia" w:hAnsiTheme="minorHAnsi" w:cstheme="minorBidi"/>
          <w:noProof/>
          <w:szCs w:val="22"/>
          <w:lang w:val="en-CA"/>
        </w:rPr>
      </w:pPr>
      <w:hyperlink w:anchor="_Toc161652250" w:history="1">
        <w:r w:rsidR="00030F5F" w:rsidRPr="003A098F">
          <w:rPr>
            <w:rStyle w:val="Hyperlink"/>
            <w:noProof/>
          </w:rPr>
          <w:t>4.0</w:t>
        </w:r>
        <w:r w:rsidR="00030F5F">
          <w:rPr>
            <w:rFonts w:asciiTheme="minorHAnsi" w:eastAsiaTheme="minorEastAsia" w:hAnsiTheme="minorHAnsi" w:cstheme="minorBidi"/>
            <w:noProof/>
            <w:szCs w:val="22"/>
            <w:lang w:val="en-CA"/>
          </w:rPr>
          <w:tab/>
        </w:r>
        <w:r w:rsidR="00030F5F" w:rsidRPr="003A098F">
          <w:rPr>
            <w:rStyle w:val="Hyperlink"/>
            <w:noProof/>
          </w:rPr>
          <w:t>THE COMMISSION SHOULD EXEMPT ALL SRDUs FROM REGULATION</w:t>
        </w:r>
        <w:r w:rsidR="00030F5F">
          <w:rPr>
            <w:noProof/>
            <w:webHidden/>
          </w:rPr>
          <w:tab/>
        </w:r>
        <w:r w:rsidR="00030F5F">
          <w:rPr>
            <w:noProof/>
            <w:webHidden/>
          </w:rPr>
          <w:fldChar w:fldCharType="begin"/>
        </w:r>
        <w:r w:rsidR="00030F5F">
          <w:rPr>
            <w:noProof/>
            <w:webHidden/>
          </w:rPr>
          <w:instrText xml:space="preserve"> PAGEREF _Toc161652250 \h </w:instrText>
        </w:r>
        <w:r w:rsidR="00030F5F">
          <w:rPr>
            <w:noProof/>
            <w:webHidden/>
          </w:rPr>
        </w:r>
        <w:r w:rsidR="00030F5F">
          <w:rPr>
            <w:noProof/>
            <w:webHidden/>
          </w:rPr>
          <w:fldChar w:fldCharType="separate"/>
        </w:r>
        <w:r w:rsidR="004A71C0">
          <w:rPr>
            <w:noProof/>
            <w:webHidden/>
          </w:rPr>
          <w:t>8</w:t>
        </w:r>
        <w:r w:rsidR="00030F5F">
          <w:rPr>
            <w:noProof/>
            <w:webHidden/>
          </w:rPr>
          <w:fldChar w:fldCharType="end"/>
        </w:r>
      </w:hyperlink>
    </w:p>
    <w:p w14:paraId="63735667" w14:textId="0E2313AC" w:rsidR="00030F5F" w:rsidRDefault="00000000">
      <w:pPr>
        <w:pStyle w:val="TOC2"/>
        <w:tabs>
          <w:tab w:val="left" w:pos="1440"/>
        </w:tabs>
        <w:rPr>
          <w:rFonts w:asciiTheme="minorHAnsi" w:eastAsiaTheme="minorEastAsia" w:hAnsiTheme="minorHAnsi" w:cstheme="minorBidi"/>
          <w:noProof/>
          <w:szCs w:val="22"/>
          <w:lang w:val="en-CA"/>
        </w:rPr>
      </w:pPr>
      <w:hyperlink w:anchor="_Toc161652251" w:history="1">
        <w:r w:rsidR="00030F5F" w:rsidRPr="003A098F">
          <w:rPr>
            <w:rStyle w:val="Hyperlink"/>
            <w:noProof/>
          </w:rPr>
          <w:t>4.1</w:t>
        </w:r>
        <w:r w:rsidR="00030F5F">
          <w:rPr>
            <w:rFonts w:asciiTheme="minorHAnsi" w:eastAsiaTheme="minorEastAsia" w:hAnsiTheme="minorHAnsi" w:cstheme="minorBidi"/>
            <w:noProof/>
            <w:szCs w:val="22"/>
            <w:lang w:val="en-CA"/>
          </w:rPr>
          <w:tab/>
        </w:r>
        <w:r w:rsidR="00030F5F" w:rsidRPr="003A098F">
          <w:rPr>
            <w:rStyle w:val="Hyperlink"/>
            <w:noProof/>
          </w:rPr>
          <w:t>SRDU Licensing is Burdensome and Unnecessary</w:t>
        </w:r>
        <w:r w:rsidR="00030F5F">
          <w:rPr>
            <w:noProof/>
            <w:webHidden/>
          </w:rPr>
          <w:tab/>
        </w:r>
        <w:r w:rsidR="00030F5F">
          <w:rPr>
            <w:noProof/>
            <w:webHidden/>
          </w:rPr>
          <w:fldChar w:fldCharType="begin"/>
        </w:r>
        <w:r w:rsidR="00030F5F">
          <w:rPr>
            <w:noProof/>
            <w:webHidden/>
          </w:rPr>
          <w:instrText xml:space="preserve"> PAGEREF _Toc161652251 \h </w:instrText>
        </w:r>
        <w:r w:rsidR="00030F5F">
          <w:rPr>
            <w:noProof/>
            <w:webHidden/>
          </w:rPr>
        </w:r>
        <w:r w:rsidR="00030F5F">
          <w:rPr>
            <w:noProof/>
            <w:webHidden/>
          </w:rPr>
          <w:fldChar w:fldCharType="separate"/>
        </w:r>
        <w:r w:rsidR="004A71C0">
          <w:rPr>
            <w:noProof/>
            <w:webHidden/>
          </w:rPr>
          <w:t>8</w:t>
        </w:r>
        <w:r w:rsidR="00030F5F">
          <w:rPr>
            <w:noProof/>
            <w:webHidden/>
          </w:rPr>
          <w:fldChar w:fldCharType="end"/>
        </w:r>
      </w:hyperlink>
    </w:p>
    <w:p w14:paraId="5AC692DF" w14:textId="59482356" w:rsidR="00030F5F" w:rsidRDefault="00000000">
      <w:pPr>
        <w:pStyle w:val="TOC2"/>
        <w:tabs>
          <w:tab w:val="left" w:pos="1440"/>
        </w:tabs>
        <w:rPr>
          <w:rFonts w:asciiTheme="minorHAnsi" w:eastAsiaTheme="minorEastAsia" w:hAnsiTheme="minorHAnsi" w:cstheme="minorBidi"/>
          <w:noProof/>
          <w:szCs w:val="22"/>
          <w:lang w:val="en-CA"/>
        </w:rPr>
      </w:pPr>
      <w:hyperlink w:anchor="_Toc161652252" w:history="1">
        <w:r w:rsidR="00030F5F" w:rsidRPr="003A098F">
          <w:rPr>
            <w:rStyle w:val="Hyperlink"/>
            <w:rFonts w:eastAsia="Calibri"/>
            <w:noProof/>
            <w:lang w:val="en-CA" w:eastAsia="en-US"/>
          </w:rPr>
          <w:t>4.2</w:t>
        </w:r>
        <w:r w:rsidR="00030F5F">
          <w:rPr>
            <w:rFonts w:asciiTheme="minorHAnsi" w:eastAsiaTheme="minorEastAsia" w:hAnsiTheme="minorHAnsi" w:cstheme="minorBidi"/>
            <w:noProof/>
            <w:szCs w:val="22"/>
            <w:lang w:val="en-CA"/>
          </w:rPr>
          <w:tab/>
        </w:r>
        <w:r w:rsidR="00030F5F" w:rsidRPr="003A098F">
          <w:rPr>
            <w:rStyle w:val="Hyperlink"/>
            <w:rFonts w:eastAsia="Calibri"/>
            <w:noProof/>
            <w:lang w:val="en-CA" w:eastAsia="en-US"/>
          </w:rPr>
          <w:t>The Rationale for SRDU Exemption</w:t>
        </w:r>
        <w:r w:rsidR="00030F5F">
          <w:rPr>
            <w:noProof/>
            <w:webHidden/>
          </w:rPr>
          <w:tab/>
        </w:r>
        <w:r w:rsidR="00030F5F">
          <w:rPr>
            <w:noProof/>
            <w:webHidden/>
          </w:rPr>
          <w:fldChar w:fldCharType="begin"/>
        </w:r>
        <w:r w:rsidR="00030F5F">
          <w:rPr>
            <w:noProof/>
            <w:webHidden/>
          </w:rPr>
          <w:instrText xml:space="preserve"> PAGEREF _Toc161652252 \h </w:instrText>
        </w:r>
        <w:r w:rsidR="00030F5F">
          <w:rPr>
            <w:noProof/>
            <w:webHidden/>
          </w:rPr>
        </w:r>
        <w:r w:rsidR="00030F5F">
          <w:rPr>
            <w:noProof/>
            <w:webHidden/>
          </w:rPr>
          <w:fldChar w:fldCharType="separate"/>
        </w:r>
        <w:r w:rsidR="004A71C0">
          <w:rPr>
            <w:noProof/>
            <w:webHidden/>
          </w:rPr>
          <w:t>9</w:t>
        </w:r>
        <w:r w:rsidR="00030F5F">
          <w:rPr>
            <w:noProof/>
            <w:webHidden/>
          </w:rPr>
          <w:fldChar w:fldCharType="end"/>
        </w:r>
      </w:hyperlink>
    </w:p>
    <w:p w14:paraId="0EFD4C9B" w14:textId="0DD5F953" w:rsidR="00030F5F" w:rsidRDefault="00000000">
      <w:pPr>
        <w:pStyle w:val="TOC1"/>
        <w:rPr>
          <w:rFonts w:asciiTheme="minorHAnsi" w:eastAsiaTheme="minorEastAsia" w:hAnsiTheme="minorHAnsi" w:cstheme="minorBidi"/>
          <w:noProof/>
          <w:szCs w:val="22"/>
          <w:lang w:val="en-CA"/>
        </w:rPr>
      </w:pPr>
      <w:hyperlink w:anchor="_Toc161652253" w:history="1">
        <w:r w:rsidR="00030F5F" w:rsidRPr="003A098F">
          <w:rPr>
            <w:rStyle w:val="Hyperlink"/>
            <w:noProof/>
          </w:rPr>
          <w:t>5.0</w:t>
        </w:r>
        <w:r w:rsidR="00030F5F">
          <w:rPr>
            <w:rFonts w:asciiTheme="minorHAnsi" w:eastAsiaTheme="minorEastAsia" w:hAnsiTheme="minorHAnsi" w:cstheme="minorBidi"/>
            <w:noProof/>
            <w:szCs w:val="22"/>
            <w:lang w:val="en-CA"/>
          </w:rPr>
          <w:tab/>
        </w:r>
        <w:r w:rsidR="00030F5F" w:rsidRPr="003A098F">
          <w:rPr>
            <w:rStyle w:val="Hyperlink"/>
            <w:noProof/>
          </w:rPr>
          <w:t>CONCLUSION</w:t>
        </w:r>
        <w:r w:rsidR="00030F5F">
          <w:rPr>
            <w:noProof/>
            <w:webHidden/>
          </w:rPr>
          <w:tab/>
        </w:r>
        <w:r w:rsidR="00030F5F">
          <w:rPr>
            <w:noProof/>
            <w:webHidden/>
          </w:rPr>
          <w:fldChar w:fldCharType="begin"/>
        </w:r>
        <w:r w:rsidR="00030F5F">
          <w:rPr>
            <w:noProof/>
            <w:webHidden/>
          </w:rPr>
          <w:instrText xml:space="preserve"> PAGEREF _Toc161652253 \h </w:instrText>
        </w:r>
        <w:r w:rsidR="00030F5F">
          <w:rPr>
            <w:noProof/>
            <w:webHidden/>
          </w:rPr>
        </w:r>
        <w:r w:rsidR="00030F5F">
          <w:rPr>
            <w:noProof/>
            <w:webHidden/>
          </w:rPr>
          <w:fldChar w:fldCharType="separate"/>
        </w:r>
        <w:r w:rsidR="004A71C0">
          <w:rPr>
            <w:noProof/>
            <w:webHidden/>
          </w:rPr>
          <w:t>10</w:t>
        </w:r>
        <w:r w:rsidR="00030F5F">
          <w:rPr>
            <w:noProof/>
            <w:webHidden/>
          </w:rPr>
          <w:fldChar w:fldCharType="end"/>
        </w:r>
      </w:hyperlink>
    </w:p>
    <w:p w14:paraId="34749B5E" w14:textId="294FB012" w:rsidR="00AA324E" w:rsidRPr="00EC0718" w:rsidRDefault="005F6971" w:rsidP="00AA324E">
      <w:pPr>
        <w:rPr>
          <w:rFonts w:cs="Arial"/>
          <w:szCs w:val="22"/>
        </w:rPr>
      </w:pPr>
      <w:r w:rsidRPr="00EC0718">
        <w:rPr>
          <w:rFonts w:cs="Arial"/>
          <w:szCs w:val="22"/>
        </w:rPr>
        <w:fldChar w:fldCharType="end"/>
      </w:r>
    </w:p>
    <w:p w14:paraId="78794248" w14:textId="77777777" w:rsidR="00AA324E" w:rsidRPr="00EC0718" w:rsidRDefault="00AA324E" w:rsidP="00AA324E">
      <w:pPr>
        <w:rPr>
          <w:rFonts w:cs="Arial"/>
          <w:szCs w:val="22"/>
        </w:rPr>
      </w:pPr>
    </w:p>
    <w:p w14:paraId="5EF0BBE4" w14:textId="77777777" w:rsidR="00AA324E" w:rsidRPr="00EC0718" w:rsidRDefault="00AA324E" w:rsidP="00AA324E">
      <w:pPr>
        <w:rPr>
          <w:rFonts w:cs="Arial"/>
          <w:szCs w:val="22"/>
        </w:rPr>
      </w:pPr>
    </w:p>
    <w:p w14:paraId="5464FDDB" w14:textId="77777777" w:rsidR="00AA324E" w:rsidRPr="00EC0718" w:rsidRDefault="00AA324E" w:rsidP="00AA324E">
      <w:pPr>
        <w:rPr>
          <w:rFonts w:cs="Arial"/>
          <w:b/>
          <w:bCs/>
          <w:szCs w:val="22"/>
          <w:u w:val="single"/>
        </w:rPr>
        <w:sectPr w:rsidR="00AA324E" w:rsidRPr="00EC0718" w:rsidSect="00E173C5">
          <w:pgSz w:w="12240" w:h="15840" w:code="1"/>
          <w:pgMar w:top="1080" w:right="1440" w:bottom="1080" w:left="1440" w:header="720" w:footer="720" w:gutter="0"/>
          <w:cols w:space="708"/>
          <w:titlePg/>
          <w:docGrid w:linePitch="360"/>
        </w:sectPr>
      </w:pPr>
    </w:p>
    <w:p w14:paraId="416BA734" w14:textId="77777777" w:rsidR="00AA324E" w:rsidRPr="00EC0718" w:rsidRDefault="00AA324E" w:rsidP="008853A6">
      <w:pPr>
        <w:pStyle w:val="Heading1"/>
      </w:pPr>
      <w:bookmarkStart w:id="0" w:name="_Toc151364813"/>
      <w:bookmarkStart w:id="1" w:name="_Toc151364867"/>
      <w:bookmarkStart w:id="2" w:name="_Toc161652247"/>
      <w:r w:rsidRPr="00EC0718">
        <w:lastRenderedPageBreak/>
        <w:t>INTRODUCTION</w:t>
      </w:r>
      <w:bookmarkEnd w:id="0"/>
      <w:bookmarkEnd w:id="1"/>
      <w:r w:rsidR="005A69F0" w:rsidRPr="00EC0718">
        <w:t xml:space="preserve"> AND EXECUTIVE SUMMARY</w:t>
      </w:r>
      <w:bookmarkEnd w:id="2"/>
    </w:p>
    <w:p w14:paraId="59FA5E44" w14:textId="77777777" w:rsidR="00AA324E" w:rsidRPr="00EC0718" w:rsidRDefault="00AA324E" w:rsidP="008853A6">
      <w:pPr>
        <w:spacing w:line="360" w:lineRule="auto"/>
        <w:jc w:val="both"/>
        <w:rPr>
          <w:rFonts w:cs="Arial"/>
          <w:szCs w:val="22"/>
        </w:rPr>
      </w:pPr>
    </w:p>
    <w:p w14:paraId="74FF3183" w14:textId="4D702438" w:rsidR="005A69F0" w:rsidRPr="00EC0718" w:rsidRDefault="005A69F0" w:rsidP="008853A6">
      <w:pPr>
        <w:widowControl/>
        <w:numPr>
          <w:ilvl w:val="0"/>
          <w:numId w:val="3"/>
        </w:numPr>
        <w:spacing w:line="360" w:lineRule="auto"/>
        <w:jc w:val="both"/>
        <w:rPr>
          <w:rFonts w:cs="Arial"/>
          <w:i/>
          <w:szCs w:val="22"/>
        </w:rPr>
      </w:pPr>
      <w:r w:rsidRPr="00EC0718">
        <w:rPr>
          <w:rFonts w:cs="Arial"/>
          <w:szCs w:val="22"/>
        </w:rPr>
        <w:t>Bell ExpressVu (ExpressVu) is filing this Part 1 Application to request that the Commission amend our satellite relay distribution undertaking (SRDU) licence by removing the existing condition of service</w:t>
      </w:r>
      <w:r w:rsidRPr="00EC0718">
        <w:rPr>
          <w:rStyle w:val="FootnoteReference"/>
          <w:rFonts w:cs="Arial"/>
          <w:szCs w:val="22"/>
        </w:rPr>
        <w:footnoteReference w:id="1"/>
      </w:r>
      <w:r w:rsidR="009864AB">
        <w:rPr>
          <w:rFonts w:cs="Arial"/>
          <w:szCs w:val="22"/>
        </w:rPr>
        <w:t xml:space="preserve"> (COS)</w:t>
      </w:r>
      <w:r w:rsidRPr="00EC0718">
        <w:rPr>
          <w:rFonts w:cs="Arial"/>
          <w:szCs w:val="22"/>
        </w:rPr>
        <w:t xml:space="preserve"> requiring it to contribute five percent of its gross broadcasting revenues to Canadian programming.</w:t>
      </w:r>
      <w:r w:rsidRPr="00EC0718">
        <w:rPr>
          <w:rStyle w:val="FootnoteReference"/>
          <w:rFonts w:cs="Arial"/>
          <w:szCs w:val="22"/>
        </w:rPr>
        <w:footnoteReference w:id="2"/>
      </w:r>
    </w:p>
    <w:p w14:paraId="7D1B747C" w14:textId="77777777" w:rsidR="005A69F0" w:rsidRPr="00EC0718" w:rsidRDefault="005A69F0" w:rsidP="008853A6">
      <w:pPr>
        <w:widowControl/>
        <w:tabs>
          <w:tab w:val="clear" w:pos="720"/>
        </w:tabs>
        <w:spacing w:line="360" w:lineRule="auto"/>
        <w:jc w:val="both"/>
        <w:rPr>
          <w:rFonts w:cs="Arial"/>
          <w:i/>
          <w:szCs w:val="22"/>
        </w:rPr>
      </w:pPr>
    </w:p>
    <w:p w14:paraId="2150A9AB" w14:textId="4E2AC588" w:rsidR="005A69F0" w:rsidRPr="00EC0718" w:rsidRDefault="005A69F0" w:rsidP="008853A6">
      <w:pPr>
        <w:widowControl/>
        <w:numPr>
          <w:ilvl w:val="0"/>
          <w:numId w:val="3"/>
        </w:numPr>
        <w:spacing w:line="360" w:lineRule="auto"/>
        <w:jc w:val="both"/>
        <w:rPr>
          <w:rFonts w:cs="Arial"/>
          <w:i/>
          <w:szCs w:val="22"/>
        </w:rPr>
      </w:pPr>
      <w:r w:rsidRPr="00EC0718">
        <w:rPr>
          <w:rFonts w:cs="Arial"/>
          <w:szCs w:val="22"/>
        </w:rPr>
        <w:t>ExpressVu</w:t>
      </w:r>
      <w:r w:rsidR="0068192E">
        <w:rPr>
          <w:rFonts w:cs="Arial"/>
          <w:szCs w:val="22"/>
        </w:rPr>
        <w:t>'</w:t>
      </w:r>
      <w:r w:rsidRPr="00EC0718">
        <w:rPr>
          <w:rFonts w:cs="Arial"/>
          <w:szCs w:val="22"/>
        </w:rPr>
        <w:t xml:space="preserve">s current SRDU </w:t>
      </w:r>
      <w:r w:rsidR="007718BB">
        <w:rPr>
          <w:rFonts w:cs="Arial"/>
          <w:szCs w:val="22"/>
        </w:rPr>
        <w:t xml:space="preserve">conditions of service </w:t>
      </w:r>
      <w:r w:rsidRPr="00EC0718">
        <w:rPr>
          <w:rFonts w:cs="Arial"/>
          <w:szCs w:val="22"/>
        </w:rPr>
        <w:t xml:space="preserve">are set </w:t>
      </w:r>
      <w:r w:rsidR="009864AB">
        <w:rPr>
          <w:rFonts w:cs="Arial"/>
          <w:szCs w:val="22"/>
        </w:rPr>
        <w:t xml:space="preserve">out </w:t>
      </w:r>
      <w:r w:rsidRPr="00EC0718">
        <w:rPr>
          <w:rFonts w:cs="Arial"/>
          <w:szCs w:val="22"/>
        </w:rPr>
        <w:t>in Broad</w:t>
      </w:r>
      <w:r w:rsidR="005544F0">
        <w:rPr>
          <w:rFonts w:cs="Arial"/>
          <w:szCs w:val="22"/>
        </w:rPr>
        <w:t>casting Decision </w:t>
      </w:r>
      <w:r w:rsidRPr="00EC0718">
        <w:rPr>
          <w:rFonts w:cs="Arial"/>
          <w:szCs w:val="22"/>
        </w:rPr>
        <w:t>2019</w:t>
      </w:r>
      <w:r w:rsidRPr="00EC0718">
        <w:rPr>
          <w:rFonts w:cs="Arial"/>
          <w:szCs w:val="22"/>
        </w:rPr>
        <w:noBreakHyphen/>
        <w:t>385.</w:t>
      </w:r>
      <w:r w:rsidRPr="00EC0718">
        <w:rPr>
          <w:rStyle w:val="FootnoteReference"/>
          <w:rFonts w:cs="Arial"/>
          <w:szCs w:val="22"/>
        </w:rPr>
        <w:footnoteReference w:id="3"/>
      </w:r>
      <w:r w:rsidRPr="00EC0718">
        <w:rPr>
          <w:rFonts w:cs="Arial"/>
          <w:szCs w:val="22"/>
        </w:rPr>
        <w:t xml:space="preserve">  COS number seven of that decision requires that:</w:t>
      </w:r>
    </w:p>
    <w:p w14:paraId="2E89B8E6" w14:textId="77777777" w:rsidR="005A69F0" w:rsidRPr="00EC0718" w:rsidRDefault="005A69F0" w:rsidP="008853A6">
      <w:pPr>
        <w:widowControl/>
        <w:tabs>
          <w:tab w:val="clear" w:pos="720"/>
        </w:tabs>
        <w:jc w:val="both"/>
        <w:rPr>
          <w:rFonts w:cs="Arial"/>
          <w:szCs w:val="22"/>
        </w:rPr>
      </w:pPr>
    </w:p>
    <w:p w14:paraId="748716BC" w14:textId="35FA73D0" w:rsidR="005A69F0" w:rsidRPr="00EC0718" w:rsidRDefault="005A69F0" w:rsidP="008853A6">
      <w:pPr>
        <w:widowControl/>
        <w:tabs>
          <w:tab w:val="clear" w:pos="720"/>
        </w:tabs>
        <w:ind w:left="720" w:right="720"/>
        <w:jc w:val="both"/>
        <w:rPr>
          <w:rFonts w:cs="Arial"/>
          <w:i/>
          <w:szCs w:val="22"/>
          <w:lang w:val="en-CA"/>
        </w:rPr>
      </w:pPr>
      <w:r w:rsidRPr="00EC0718">
        <w:rPr>
          <w:rFonts w:cs="Arial"/>
          <w:szCs w:val="22"/>
          <w:lang w:val="en-CA"/>
        </w:rPr>
        <w:t>The licensee shall contribute a minimum of 5% of its gross annual revenues derived from broadcasting activities to the creation and presentation of Canadian programming. For the purposes of this condition, contributions directed to a production fund shall be made on a monthly basis, within 45 days of each month</w:t>
      </w:r>
      <w:r w:rsidR="0068192E">
        <w:rPr>
          <w:rFonts w:cs="Arial"/>
          <w:szCs w:val="22"/>
          <w:lang w:val="en-CA"/>
        </w:rPr>
        <w:t>'</w:t>
      </w:r>
      <w:r w:rsidRPr="00EC0718">
        <w:rPr>
          <w:rFonts w:cs="Arial"/>
          <w:szCs w:val="22"/>
          <w:lang w:val="en-CA"/>
        </w:rPr>
        <w:t>s end. Funds allocated to subsidize the provision of decoder equipment are not eligible contributions.</w:t>
      </w:r>
    </w:p>
    <w:p w14:paraId="7D801990" w14:textId="77777777" w:rsidR="005A69F0" w:rsidRPr="00EC0718" w:rsidRDefault="005A69F0" w:rsidP="008853A6">
      <w:pPr>
        <w:spacing w:line="360" w:lineRule="auto"/>
        <w:jc w:val="both"/>
      </w:pPr>
    </w:p>
    <w:p w14:paraId="36619F7A" w14:textId="29E05E5C" w:rsidR="005A69F0" w:rsidRPr="00EC0718" w:rsidRDefault="005A69F0" w:rsidP="008853A6">
      <w:pPr>
        <w:widowControl/>
        <w:numPr>
          <w:ilvl w:val="0"/>
          <w:numId w:val="3"/>
        </w:numPr>
        <w:spacing w:line="360" w:lineRule="auto"/>
        <w:jc w:val="both"/>
        <w:rPr>
          <w:rFonts w:cs="Arial"/>
          <w:i/>
          <w:szCs w:val="22"/>
        </w:rPr>
      </w:pPr>
      <w:r w:rsidRPr="00EC0718">
        <w:rPr>
          <w:rFonts w:cs="Arial"/>
          <w:szCs w:val="22"/>
        </w:rPr>
        <w:t xml:space="preserve">We believe that we should be relieved from this </w:t>
      </w:r>
      <w:r w:rsidR="009864AB">
        <w:rPr>
          <w:rFonts w:cs="Arial"/>
          <w:szCs w:val="22"/>
        </w:rPr>
        <w:t>COS</w:t>
      </w:r>
      <w:r w:rsidRPr="00EC0718">
        <w:rPr>
          <w:rFonts w:cs="Arial"/>
          <w:szCs w:val="22"/>
        </w:rPr>
        <w:t xml:space="preserve"> in recognition of:</w:t>
      </w:r>
    </w:p>
    <w:p w14:paraId="5A2FD007" w14:textId="77777777" w:rsidR="005A69F0" w:rsidRPr="00EC0718" w:rsidRDefault="005A69F0" w:rsidP="008853A6">
      <w:pPr>
        <w:jc w:val="both"/>
        <w:rPr>
          <w:rFonts w:cs="Arial"/>
          <w:szCs w:val="22"/>
        </w:rPr>
      </w:pPr>
    </w:p>
    <w:p w14:paraId="774C8C09" w14:textId="77777777" w:rsidR="005A69F0" w:rsidRPr="00EC0718" w:rsidRDefault="00EC25E3" w:rsidP="008853A6">
      <w:pPr>
        <w:tabs>
          <w:tab w:val="clear" w:pos="720"/>
        </w:tabs>
        <w:spacing w:line="360" w:lineRule="auto"/>
        <w:ind w:left="1440" w:hanging="720"/>
        <w:jc w:val="both"/>
        <w:rPr>
          <w:rFonts w:cs="Arial"/>
          <w:i/>
          <w:szCs w:val="22"/>
        </w:rPr>
      </w:pPr>
      <w:r w:rsidRPr="00EC0718">
        <w:rPr>
          <w:rFonts w:cs="Arial"/>
          <w:szCs w:val="22"/>
        </w:rPr>
        <w:t>-</w:t>
      </w:r>
      <w:r w:rsidRPr="00EC0718">
        <w:rPr>
          <w:rFonts w:cs="Arial"/>
          <w:szCs w:val="22"/>
        </w:rPr>
        <w:tab/>
      </w:r>
      <w:r w:rsidR="005A69F0" w:rsidRPr="00EC0718">
        <w:rPr>
          <w:rFonts w:cs="Arial"/>
          <w:szCs w:val="22"/>
        </w:rPr>
        <w:t>the significant challenges facing the traditional broadcasting industry in general and SRDU undertakings more specifically;</w:t>
      </w:r>
    </w:p>
    <w:p w14:paraId="4EA519E6" w14:textId="2365EBFA" w:rsidR="005A69F0" w:rsidRPr="00EC0718" w:rsidRDefault="00EC25E3" w:rsidP="008853A6">
      <w:pPr>
        <w:tabs>
          <w:tab w:val="clear" w:pos="720"/>
        </w:tabs>
        <w:spacing w:line="360" w:lineRule="auto"/>
        <w:ind w:left="1440" w:hanging="720"/>
        <w:jc w:val="both"/>
        <w:rPr>
          <w:rFonts w:cs="Arial"/>
          <w:i/>
          <w:szCs w:val="22"/>
        </w:rPr>
      </w:pPr>
      <w:r w:rsidRPr="00EC0718">
        <w:rPr>
          <w:rFonts w:cs="Arial"/>
          <w:szCs w:val="22"/>
        </w:rPr>
        <w:t>-</w:t>
      </w:r>
      <w:r w:rsidRPr="00EC0718">
        <w:rPr>
          <w:rFonts w:cs="Arial"/>
          <w:szCs w:val="22"/>
        </w:rPr>
        <w:tab/>
      </w:r>
      <w:r w:rsidR="005A69F0" w:rsidRPr="00EC0718">
        <w:rPr>
          <w:rFonts w:cs="Arial"/>
          <w:szCs w:val="22"/>
        </w:rPr>
        <w:t xml:space="preserve">the fact that our SRDU does not currently make a meaningful contribution to the objectives of the </w:t>
      </w:r>
      <w:r w:rsidR="005A69F0" w:rsidRPr="005544F0">
        <w:rPr>
          <w:rFonts w:cs="Arial"/>
          <w:i/>
          <w:szCs w:val="22"/>
        </w:rPr>
        <w:t>Broadcasting Act</w:t>
      </w:r>
      <w:r w:rsidR="005A69F0" w:rsidRPr="00EC0718">
        <w:rPr>
          <w:rFonts w:cs="Arial"/>
          <w:szCs w:val="22"/>
        </w:rPr>
        <w:t xml:space="preserve"> (the </w:t>
      </w:r>
      <w:r w:rsidR="005A69F0" w:rsidRPr="005544F0">
        <w:rPr>
          <w:rFonts w:cs="Arial"/>
          <w:i/>
          <w:szCs w:val="22"/>
        </w:rPr>
        <w:t>Act</w:t>
      </w:r>
      <w:r w:rsidR="00C855F0">
        <w:rPr>
          <w:rFonts w:cs="Arial"/>
          <w:szCs w:val="22"/>
        </w:rPr>
        <w:t>); and</w:t>
      </w:r>
    </w:p>
    <w:p w14:paraId="2EDF644C" w14:textId="05B7DBE7" w:rsidR="005A69F0" w:rsidRPr="00EC0718" w:rsidRDefault="00EC25E3" w:rsidP="008853A6">
      <w:pPr>
        <w:tabs>
          <w:tab w:val="clear" w:pos="720"/>
        </w:tabs>
        <w:spacing w:line="360" w:lineRule="auto"/>
        <w:ind w:left="1440" w:hanging="720"/>
        <w:jc w:val="both"/>
        <w:rPr>
          <w:rFonts w:cs="Arial"/>
          <w:i/>
          <w:szCs w:val="22"/>
        </w:rPr>
      </w:pPr>
      <w:r w:rsidRPr="00EC0718">
        <w:rPr>
          <w:rFonts w:cs="Arial"/>
          <w:szCs w:val="22"/>
        </w:rPr>
        <w:t>-</w:t>
      </w:r>
      <w:r w:rsidRPr="00EC0718">
        <w:rPr>
          <w:rFonts w:cs="Arial"/>
          <w:szCs w:val="22"/>
        </w:rPr>
        <w:tab/>
      </w:r>
      <w:r w:rsidR="005A69F0" w:rsidRPr="00EC0718">
        <w:rPr>
          <w:rFonts w:cs="Arial"/>
          <w:szCs w:val="22"/>
        </w:rPr>
        <w:t xml:space="preserve">the fact that the COS in question is both unfair and inconsistent from a policy perspective because it does not apply to </w:t>
      </w:r>
      <w:r w:rsidR="00D93716">
        <w:rPr>
          <w:rFonts w:cs="Arial"/>
          <w:szCs w:val="22"/>
        </w:rPr>
        <w:t xml:space="preserve">small broadcasting distribution undertakings (BDUs) and </w:t>
      </w:r>
      <w:r w:rsidR="005A69F0" w:rsidRPr="00EC0718">
        <w:rPr>
          <w:rFonts w:cs="Arial"/>
          <w:szCs w:val="22"/>
        </w:rPr>
        <w:t>competitive terrestrial relay distribution undertaking</w:t>
      </w:r>
      <w:r w:rsidR="00D93716">
        <w:rPr>
          <w:rFonts w:cs="Arial"/>
          <w:szCs w:val="22"/>
        </w:rPr>
        <w:t>s</w:t>
      </w:r>
      <w:r w:rsidR="005A69F0" w:rsidRPr="00EC0718">
        <w:rPr>
          <w:rFonts w:cs="Arial"/>
          <w:szCs w:val="22"/>
        </w:rPr>
        <w:t xml:space="preserve"> (TRDU</w:t>
      </w:r>
      <w:r w:rsidR="00D93716">
        <w:rPr>
          <w:rFonts w:cs="Arial"/>
          <w:szCs w:val="22"/>
        </w:rPr>
        <w:t>s</w:t>
      </w:r>
      <w:r w:rsidR="005A69F0" w:rsidRPr="00EC0718">
        <w:rPr>
          <w:rFonts w:cs="Arial"/>
          <w:szCs w:val="22"/>
        </w:rPr>
        <w:t>)</w:t>
      </w:r>
      <w:r w:rsidR="002C18C0">
        <w:rPr>
          <w:rFonts w:cs="Arial"/>
          <w:szCs w:val="22"/>
        </w:rPr>
        <w:t>,</w:t>
      </w:r>
      <w:r w:rsidR="005A69F0" w:rsidRPr="00EC0718">
        <w:rPr>
          <w:rFonts w:cs="Arial"/>
          <w:szCs w:val="22"/>
        </w:rPr>
        <w:t xml:space="preserve"> which operate under exemption order</w:t>
      </w:r>
      <w:r w:rsidR="00D93716">
        <w:rPr>
          <w:rFonts w:cs="Arial"/>
          <w:szCs w:val="22"/>
        </w:rPr>
        <w:t>s</w:t>
      </w:r>
      <w:r w:rsidR="002C18C0">
        <w:rPr>
          <w:rFonts w:cs="Arial"/>
          <w:szCs w:val="22"/>
        </w:rPr>
        <w:t>.</w:t>
      </w:r>
      <w:r w:rsidR="005A69F0" w:rsidRPr="00EC0718">
        <w:rPr>
          <w:rStyle w:val="FootnoteReference"/>
          <w:rFonts w:cs="Arial"/>
          <w:szCs w:val="22"/>
        </w:rPr>
        <w:footnoteReference w:id="4"/>
      </w:r>
    </w:p>
    <w:p w14:paraId="4B1785FC" w14:textId="77777777" w:rsidR="005A69F0" w:rsidRPr="00EC0718" w:rsidRDefault="005A69F0" w:rsidP="008853A6">
      <w:pPr>
        <w:spacing w:line="360" w:lineRule="auto"/>
        <w:jc w:val="both"/>
        <w:rPr>
          <w:rFonts w:cs="Arial"/>
          <w:szCs w:val="22"/>
        </w:rPr>
      </w:pPr>
    </w:p>
    <w:p w14:paraId="607BEE3C" w14:textId="1CEB31F5" w:rsidR="005A69F0" w:rsidRPr="00EC0718" w:rsidRDefault="005A69F0" w:rsidP="008853A6">
      <w:pPr>
        <w:widowControl/>
        <w:numPr>
          <w:ilvl w:val="0"/>
          <w:numId w:val="3"/>
        </w:numPr>
        <w:spacing w:line="360" w:lineRule="auto"/>
        <w:jc w:val="both"/>
        <w:rPr>
          <w:rFonts w:cs="Arial"/>
          <w:szCs w:val="22"/>
        </w:rPr>
      </w:pPr>
      <w:r w:rsidRPr="00EC0718">
        <w:rPr>
          <w:rFonts w:cs="Arial"/>
          <w:szCs w:val="22"/>
        </w:rPr>
        <w:t xml:space="preserve">The relief we are seeking is wholly consistent with Section 9(4) of the </w:t>
      </w:r>
      <w:r w:rsidRPr="006A63CE">
        <w:rPr>
          <w:rFonts w:cs="Arial"/>
          <w:i/>
          <w:szCs w:val="22"/>
        </w:rPr>
        <w:t>Act</w:t>
      </w:r>
      <w:r w:rsidR="005544F0">
        <w:rPr>
          <w:rFonts w:cs="Arial"/>
          <w:szCs w:val="22"/>
        </w:rPr>
        <w:t>,</w:t>
      </w:r>
      <w:r w:rsidRPr="00EC0718">
        <w:rPr>
          <w:rFonts w:cs="Arial"/>
          <w:szCs w:val="22"/>
        </w:rPr>
        <w:t xml:space="preserve"> which sets out the following in regard to the exemption of broadcasting undertakings from licensing requirements:</w:t>
      </w:r>
    </w:p>
    <w:p w14:paraId="0D6F5DE6" w14:textId="77777777" w:rsidR="005A69F0" w:rsidRPr="00EC0718" w:rsidRDefault="005A69F0" w:rsidP="008853A6">
      <w:pPr>
        <w:widowControl/>
        <w:ind w:right="720"/>
        <w:jc w:val="both"/>
        <w:rPr>
          <w:rFonts w:cs="Arial"/>
          <w:szCs w:val="22"/>
        </w:rPr>
      </w:pPr>
    </w:p>
    <w:p w14:paraId="0471FBD4" w14:textId="77777777" w:rsidR="005A69F0" w:rsidRPr="00EC0718" w:rsidRDefault="005A69F0" w:rsidP="008853A6">
      <w:pPr>
        <w:widowControl/>
        <w:tabs>
          <w:tab w:val="clear" w:pos="720"/>
        </w:tabs>
        <w:ind w:left="720" w:right="720"/>
        <w:jc w:val="both"/>
        <w:rPr>
          <w:rFonts w:cs="Arial"/>
          <w:szCs w:val="22"/>
        </w:rPr>
      </w:pPr>
      <w:r w:rsidRPr="00EC0718">
        <w:rPr>
          <w:rFonts w:cs="Arial"/>
          <w:szCs w:val="22"/>
        </w:rPr>
        <w:t>The Commission shall, by order, on such terms and conditions as it deems</w:t>
      </w:r>
      <w:r w:rsidR="008853A6" w:rsidRPr="00EC0718">
        <w:rPr>
          <w:rFonts w:cs="Arial"/>
          <w:szCs w:val="22"/>
        </w:rPr>
        <w:t xml:space="preserve"> </w:t>
      </w:r>
      <w:r w:rsidRPr="00EC0718">
        <w:rPr>
          <w:rFonts w:cs="Arial"/>
          <w:szCs w:val="22"/>
        </w:rPr>
        <w:t>appropriate, exempt persons who carry on broadcasting undertakings of any class specified in the order from any or all of the requirements of this Part or of a regulation made under this Part where the Commission is satisfied that</w:t>
      </w:r>
      <w:r w:rsidR="008853A6" w:rsidRPr="00EC0718">
        <w:rPr>
          <w:rFonts w:cs="Arial"/>
          <w:szCs w:val="22"/>
        </w:rPr>
        <w:t xml:space="preserve"> </w:t>
      </w:r>
      <w:r w:rsidRPr="00EC0718">
        <w:rPr>
          <w:rFonts w:cs="Arial"/>
          <w:b/>
          <w:szCs w:val="22"/>
        </w:rPr>
        <w:t>compliance with those requirements will not contribute in a material manner to the implementation of the broadcasting policy set out in subsection 3(1)</w:t>
      </w:r>
      <w:r w:rsidRPr="00EC0718">
        <w:rPr>
          <w:rFonts w:cs="Arial"/>
          <w:szCs w:val="22"/>
        </w:rPr>
        <w:t>. [Emphasis added]</w:t>
      </w:r>
    </w:p>
    <w:p w14:paraId="23D69B21" w14:textId="77777777" w:rsidR="005A69F0" w:rsidRPr="00EC0718" w:rsidRDefault="005A69F0" w:rsidP="008853A6">
      <w:pPr>
        <w:widowControl/>
        <w:tabs>
          <w:tab w:val="clear" w:pos="720"/>
        </w:tabs>
        <w:spacing w:line="360" w:lineRule="auto"/>
        <w:jc w:val="both"/>
        <w:rPr>
          <w:rFonts w:cs="Arial"/>
          <w:szCs w:val="22"/>
        </w:rPr>
      </w:pPr>
    </w:p>
    <w:p w14:paraId="7B0A13C8" w14:textId="0C84C64B" w:rsidR="005A69F0" w:rsidRPr="00EC0718" w:rsidRDefault="005A69F0" w:rsidP="008853A6">
      <w:pPr>
        <w:widowControl/>
        <w:numPr>
          <w:ilvl w:val="0"/>
          <w:numId w:val="3"/>
        </w:numPr>
        <w:spacing w:line="360" w:lineRule="auto"/>
        <w:jc w:val="both"/>
        <w:rPr>
          <w:rFonts w:cs="Arial"/>
          <w:szCs w:val="22"/>
        </w:rPr>
      </w:pPr>
      <w:r w:rsidRPr="00EC0718">
        <w:rPr>
          <w:rFonts w:cs="Arial"/>
          <w:szCs w:val="22"/>
        </w:rPr>
        <w:t xml:space="preserve">In this Application, we show that </w:t>
      </w:r>
      <w:r w:rsidR="007718BB">
        <w:rPr>
          <w:rFonts w:cs="Arial"/>
          <w:szCs w:val="22"/>
        </w:rPr>
        <w:t xml:space="preserve">our SRDU’s </w:t>
      </w:r>
      <w:r w:rsidRPr="00EC0718">
        <w:rPr>
          <w:rFonts w:cs="Arial"/>
          <w:szCs w:val="22"/>
        </w:rPr>
        <w:t xml:space="preserve">contributions to the creation of Canadian programming have declined significantly since 2016. </w:t>
      </w:r>
      <w:r w:rsidR="008853A6" w:rsidRPr="00EC0718">
        <w:rPr>
          <w:rFonts w:cs="Arial"/>
          <w:szCs w:val="22"/>
        </w:rPr>
        <w:t xml:space="preserve"> </w:t>
      </w:r>
      <w:r w:rsidRPr="00EC0718">
        <w:rPr>
          <w:rFonts w:cs="Arial"/>
          <w:szCs w:val="22"/>
        </w:rPr>
        <w:t>We further demonstrate that these contributions now fall well below the revenue exemption threshold as established for o</w:t>
      </w:r>
      <w:r w:rsidR="0068192E">
        <w:rPr>
          <w:rFonts w:cs="Arial"/>
          <w:szCs w:val="22"/>
        </w:rPr>
        <w:t>ther distribution undertakings.</w:t>
      </w:r>
    </w:p>
    <w:p w14:paraId="4CA5D4D8" w14:textId="77777777" w:rsidR="005A69F0" w:rsidRPr="00EC0718" w:rsidRDefault="005A69F0" w:rsidP="008853A6">
      <w:pPr>
        <w:widowControl/>
        <w:tabs>
          <w:tab w:val="clear" w:pos="720"/>
        </w:tabs>
        <w:spacing w:line="360" w:lineRule="auto"/>
        <w:jc w:val="both"/>
        <w:rPr>
          <w:rFonts w:cs="Arial"/>
          <w:szCs w:val="22"/>
        </w:rPr>
      </w:pPr>
    </w:p>
    <w:p w14:paraId="10E33F9C" w14:textId="569E4624" w:rsidR="005A69F0" w:rsidRPr="00B66ECF" w:rsidRDefault="005A69F0" w:rsidP="008853A6">
      <w:pPr>
        <w:pStyle w:val="ListParagraph"/>
        <w:numPr>
          <w:ilvl w:val="0"/>
          <w:numId w:val="3"/>
        </w:numPr>
        <w:tabs>
          <w:tab w:val="clear" w:pos="720"/>
        </w:tabs>
        <w:spacing w:line="360" w:lineRule="auto"/>
        <w:contextualSpacing w:val="0"/>
        <w:jc w:val="both"/>
        <w:rPr>
          <w:rFonts w:eastAsia="Calibri" w:cs="Arial"/>
          <w:szCs w:val="22"/>
          <w:lang w:val="en-CA" w:eastAsia="en-US"/>
        </w:rPr>
      </w:pPr>
      <w:r w:rsidRPr="00EC0718">
        <w:rPr>
          <w:rFonts w:cs="Arial"/>
          <w:szCs w:val="22"/>
        </w:rPr>
        <w:t>Relieving us of the obligation to contribute to Canadian programming for our small and declining SRDU business will represent a step towards establishing regulatory parity with</w:t>
      </w:r>
      <w:r w:rsidR="00D93716">
        <w:rPr>
          <w:rFonts w:cs="Arial"/>
          <w:szCs w:val="22"/>
        </w:rPr>
        <w:t xml:space="preserve"> small BDUs, </w:t>
      </w:r>
      <w:r w:rsidRPr="00EC0718">
        <w:rPr>
          <w:rFonts w:cs="Arial"/>
          <w:szCs w:val="22"/>
        </w:rPr>
        <w:t>TRDUs</w:t>
      </w:r>
      <w:r w:rsidR="001A4539">
        <w:rPr>
          <w:rFonts w:cs="Arial"/>
          <w:szCs w:val="22"/>
        </w:rPr>
        <w:t>,</w:t>
      </w:r>
      <w:r w:rsidRPr="00EC0718">
        <w:rPr>
          <w:rFonts w:cs="Arial"/>
          <w:szCs w:val="22"/>
        </w:rPr>
        <w:t xml:space="preserve"> and digital media broadcasting undertakings (DMBUs). </w:t>
      </w:r>
      <w:r w:rsidR="008853A6" w:rsidRPr="00EC0718">
        <w:rPr>
          <w:rFonts w:cs="Arial"/>
          <w:szCs w:val="22"/>
        </w:rPr>
        <w:t xml:space="preserve"> </w:t>
      </w:r>
      <w:r w:rsidRPr="00EC0718">
        <w:rPr>
          <w:rFonts w:cs="Arial"/>
          <w:szCs w:val="22"/>
        </w:rPr>
        <w:t>Indeed, the Government</w:t>
      </w:r>
      <w:r w:rsidR="0068192E">
        <w:rPr>
          <w:rFonts w:cs="Arial"/>
          <w:szCs w:val="22"/>
        </w:rPr>
        <w:t>'</w:t>
      </w:r>
      <w:r w:rsidRPr="00EC0718">
        <w:rPr>
          <w:rFonts w:cs="Arial"/>
          <w:szCs w:val="22"/>
        </w:rPr>
        <w:t xml:space="preserve">s </w:t>
      </w:r>
      <w:r w:rsidR="002C18C0">
        <w:rPr>
          <w:rFonts w:cs="Arial"/>
          <w:szCs w:val="22"/>
        </w:rPr>
        <w:t xml:space="preserve">2023 </w:t>
      </w:r>
      <w:r w:rsidRPr="00EC0718">
        <w:rPr>
          <w:rFonts w:eastAsia="Calibri" w:cs="Arial"/>
          <w:szCs w:val="22"/>
          <w:lang w:val="en-CA" w:eastAsia="en-US"/>
        </w:rPr>
        <w:t>Policy Direction</w:t>
      </w:r>
      <w:r w:rsidR="002C18C0">
        <w:rPr>
          <w:rStyle w:val="FootnoteReference"/>
          <w:rFonts w:eastAsia="Calibri" w:cs="Arial"/>
          <w:szCs w:val="22"/>
          <w:lang w:val="en-CA" w:eastAsia="en-US"/>
        </w:rPr>
        <w:footnoteReference w:id="5"/>
      </w:r>
      <w:r w:rsidRPr="00EC0718">
        <w:rPr>
          <w:rFonts w:eastAsia="Calibri" w:cs="Arial"/>
          <w:szCs w:val="22"/>
          <w:lang w:val="en-CA" w:eastAsia="en-US"/>
        </w:rPr>
        <w:t xml:space="preserve"> providing direction to the Commission on the implementation of the </w:t>
      </w:r>
      <w:r w:rsidRPr="00EC0718">
        <w:rPr>
          <w:rFonts w:eastAsia="Calibri" w:cs="Arial"/>
          <w:i/>
          <w:szCs w:val="22"/>
          <w:lang w:val="en-CA" w:eastAsia="en-US"/>
        </w:rPr>
        <w:t>Online Streaming Act</w:t>
      </w:r>
      <w:r w:rsidRPr="00EC0718">
        <w:rPr>
          <w:rFonts w:eastAsia="Calibri" w:cs="Arial"/>
          <w:szCs w:val="22"/>
          <w:lang w:val="en-CA" w:eastAsia="en-US"/>
        </w:rPr>
        <w:t xml:space="preserve"> is consistent with our current request. </w:t>
      </w:r>
      <w:r w:rsidR="008853A6" w:rsidRPr="00EC0718">
        <w:rPr>
          <w:rFonts w:eastAsia="Calibri" w:cs="Arial"/>
          <w:szCs w:val="22"/>
          <w:lang w:val="en-CA" w:eastAsia="en-US"/>
        </w:rPr>
        <w:t xml:space="preserve"> </w:t>
      </w:r>
      <w:r w:rsidRPr="00EC0718">
        <w:rPr>
          <w:rFonts w:eastAsia="Calibri" w:cs="Arial"/>
          <w:szCs w:val="22"/>
          <w:lang w:val="en-CA" w:eastAsia="en-US"/>
        </w:rPr>
        <w:t xml:space="preserve">Notably, the Government highlighted the critical need to minimize the regulatory burden placed on the traditional broadcasting system.  More specifically, the Government directed the Commission to create a flexible and adaptable regulatory framework that would </w:t>
      </w:r>
      <w:r w:rsidR="0068192E">
        <w:rPr>
          <w:rFonts w:eastAsia="Calibri" w:cs="Arial"/>
          <w:szCs w:val="22"/>
          <w:lang w:val="en-CA" w:eastAsia="en-US"/>
        </w:rPr>
        <w:t>"</w:t>
      </w:r>
      <w:r w:rsidRPr="00EC0718">
        <w:rPr>
          <w:rFonts w:eastAsia="Calibri" w:cs="Arial"/>
          <w:b/>
          <w:szCs w:val="22"/>
          <w:lang w:val="en-CA" w:eastAsia="en-US"/>
        </w:rPr>
        <w:t>minimize the regulatory burden on the Canadian broadcasting system</w:t>
      </w:r>
      <w:r w:rsidR="008853A6" w:rsidRPr="00C855F0">
        <w:rPr>
          <w:rFonts w:eastAsia="Calibri" w:cs="Arial"/>
          <w:szCs w:val="22"/>
          <w:lang w:val="en-CA" w:eastAsia="en-US"/>
        </w:rPr>
        <w:t>.</w:t>
      </w:r>
      <w:r w:rsidR="0068192E" w:rsidRPr="00C855F0">
        <w:rPr>
          <w:rFonts w:eastAsia="Calibri" w:cs="Arial"/>
          <w:szCs w:val="22"/>
          <w:lang w:val="en-CA" w:eastAsia="en-US"/>
        </w:rPr>
        <w:t>"</w:t>
      </w:r>
      <w:r w:rsidRPr="00C855F0">
        <w:rPr>
          <w:rStyle w:val="FootnoteReference"/>
          <w:rFonts w:cs="Arial"/>
          <w:bCs/>
          <w:szCs w:val="22"/>
        </w:rPr>
        <w:footnoteReference w:id="6"/>
      </w:r>
    </w:p>
    <w:p w14:paraId="790BEEAD" w14:textId="77777777" w:rsidR="005A69F0" w:rsidRPr="00EC0718" w:rsidRDefault="005A69F0" w:rsidP="008853A6">
      <w:pPr>
        <w:tabs>
          <w:tab w:val="clear" w:pos="720"/>
        </w:tabs>
        <w:spacing w:line="360" w:lineRule="auto"/>
        <w:jc w:val="both"/>
        <w:rPr>
          <w:rFonts w:eastAsia="Calibri" w:cs="Arial"/>
          <w:szCs w:val="22"/>
          <w:lang w:val="en-CA" w:eastAsia="en-US"/>
        </w:rPr>
      </w:pPr>
    </w:p>
    <w:p w14:paraId="59D06D17" w14:textId="77777777" w:rsidR="005A69F0" w:rsidRPr="00EC0718" w:rsidRDefault="005A69F0" w:rsidP="008853A6">
      <w:pPr>
        <w:widowControl/>
        <w:numPr>
          <w:ilvl w:val="0"/>
          <w:numId w:val="3"/>
        </w:numPr>
        <w:shd w:val="clear" w:color="auto" w:fill="FFFFFF"/>
        <w:tabs>
          <w:tab w:val="clear" w:pos="720"/>
        </w:tabs>
        <w:spacing w:line="360" w:lineRule="auto"/>
        <w:jc w:val="both"/>
        <w:rPr>
          <w:rFonts w:cs="Arial"/>
          <w:szCs w:val="22"/>
        </w:rPr>
      </w:pPr>
      <w:r w:rsidRPr="00EC0718">
        <w:rPr>
          <w:rFonts w:cs="Arial"/>
          <w:szCs w:val="22"/>
        </w:rPr>
        <w:t xml:space="preserve">Consequently, we believe that this request for regulatory relief for our SRDU business is fully aligned with the objectives of the </w:t>
      </w:r>
      <w:r w:rsidRPr="00EC0718">
        <w:rPr>
          <w:rFonts w:cs="Arial"/>
          <w:i/>
          <w:szCs w:val="22"/>
        </w:rPr>
        <w:t>Act</w:t>
      </w:r>
      <w:r w:rsidRPr="00EC0718">
        <w:rPr>
          <w:rFonts w:cs="Arial"/>
          <w:szCs w:val="22"/>
        </w:rPr>
        <w:t xml:space="preserve"> and the guidance </w:t>
      </w:r>
      <w:r w:rsidR="008853A6" w:rsidRPr="00EC0718">
        <w:rPr>
          <w:rFonts w:cs="Arial"/>
          <w:szCs w:val="22"/>
        </w:rPr>
        <w:t>of the Government.</w:t>
      </w:r>
    </w:p>
    <w:p w14:paraId="2BF5EA24" w14:textId="77777777" w:rsidR="005A69F0" w:rsidRPr="00EC0718" w:rsidRDefault="005A69F0" w:rsidP="008853A6">
      <w:pPr>
        <w:tabs>
          <w:tab w:val="clear" w:pos="720"/>
        </w:tabs>
        <w:spacing w:line="360" w:lineRule="auto"/>
        <w:jc w:val="both"/>
        <w:rPr>
          <w:rFonts w:cs="Arial"/>
          <w:szCs w:val="22"/>
        </w:rPr>
      </w:pPr>
    </w:p>
    <w:p w14:paraId="4C90B7EA" w14:textId="418D9B30" w:rsidR="00C855F0" w:rsidRPr="00A676FB" w:rsidRDefault="005A69F0" w:rsidP="00A676FB">
      <w:pPr>
        <w:pStyle w:val="ListParagraph"/>
        <w:numPr>
          <w:ilvl w:val="0"/>
          <w:numId w:val="3"/>
        </w:numPr>
        <w:tabs>
          <w:tab w:val="clear" w:pos="720"/>
        </w:tabs>
        <w:spacing w:line="360" w:lineRule="auto"/>
        <w:jc w:val="both"/>
        <w:rPr>
          <w:rFonts w:cs="Arial"/>
          <w:szCs w:val="22"/>
        </w:rPr>
      </w:pPr>
      <w:r w:rsidRPr="00EC0718">
        <w:rPr>
          <w:rFonts w:cs="Arial"/>
          <w:szCs w:val="22"/>
        </w:rPr>
        <w:t xml:space="preserve">We are filing certain information in this Application in confidence pursuant </w:t>
      </w:r>
      <w:r w:rsidR="009864AB">
        <w:rPr>
          <w:rFonts w:cs="Arial"/>
          <w:szCs w:val="22"/>
        </w:rPr>
        <w:t xml:space="preserve">to </w:t>
      </w:r>
      <w:r w:rsidRPr="00EC0718">
        <w:rPr>
          <w:rFonts w:cs="Arial"/>
          <w:szCs w:val="22"/>
        </w:rPr>
        <w:t>the directions provided by the Commission in the Appendix to BTIB 2010-961.</w:t>
      </w:r>
      <w:r w:rsidRPr="00EC0718">
        <w:rPr>
          <w:rStyle w:val="FootnoteReference"/>
          <w:rFonts w:cs="Arial"/>
          <w:szCs w:val="22"/>
        </w:rPr>
        <w:footnoteReference w:id="7"/>
      </w:r>
      <w:r w:rsidRPr="00EC0718">
        <w:rPr>
          <w:rFonts w:cs="Arial"/>
          <w:szCs w:val="22"/>
        </w:rPr>
        <w:t xml:space="preserve">  Release of this information would provide our competitors and potential competitors with invaluable competitively sensitive information that would not otherwise be available to them and cause specific direct harm to us.  An abridged version of this Supplementary Brief is provided for the public record.</w:t>
      </w:r>
      <w:r w:rsidR="00C855F0" w:rsidRPr="00A676FB">
        <w:rPr>
          <w:rFonts w:cs="Arial"/>
          <w:szCs w:val="22"/>
        </w:rPr>
        <w:br w:type="page"/>
      </w:r>
    </w:p>
    <w:p w14:paraId="66EC72F5" w14:textId="77777777" w:rsidR="008853A6" w:rsidRPr="00EC0718" w:rsidRDefault="008853A6" w:rsidP="008853A6">
      <w:pPr>
        <w:pStyle w:val="Heading1"/>
      </w:pPr>
      <w:bookmarkStart w:id="3" w:name="_Toc161652248"/>
      <w:r w:rsidRPr="00EC0718">
        <w:lastRenderedPageBreak/>
        <w:t>THE STATE OF THE TRADITIONAL BROADCASTING INDUSTRY</w:t>
      </w:r>
      <w:bookmarkEnd w:id="3"/>
    </w:p>
    <w:p w14:paraId="180310E0" w14:textId="77777777" w:rsidR="008853A6" w:rsidRPr="00EC0718" w:rsidRDefault="008853A6" w:rsidP="008853A6">
      <w:pPr>
        <w:pStyle w:val="ListParagraph"/>
        <w:spacing w:line="360" w:lineRule="auto"/>
        <w:ind w:left="0"/>
        <w:jc w:val="both"/>
        <w:rPr>
          <w:rFonts w:cs="Arial"/>
          <w:szCs w:val="22"/>
        </w:rPr>
      </w:pPr>
    </w:p>
    <w:p w14:paraId="48AB1C1E" w14:textId="6E2CC9F3" w:rsidR="008853A6" w:rsidRPr="00EC0718" w:rsidRDefault="008853A6" w:rsidP="008853A6">
      <w:pPr>
        <w:pStyle w:val="ListParagraph"/>
        <w:numPr>
          <w:ilvl w:val="0"/>
          <w:numId w:val="3"/>
        </w:numPr>
        <w:tabs>
          <w:tab w:val="clear" w:pos="720"/>
        </w:tabs>
        <w:spacing w:line="360" w:lineRule="auto"/>
        <w:jc w:val="both"/>
        <w:rPr>
          <w:rFonts w:cs="Arial"/>
          <w:szCs w:val="22"/>
        </w:rPr>
      </w:pPr>
      <w:r w:rsidRPr="00EC0718">
        <w:rPr>
          <w:rFonts w:cs="Arial"/>
          <w:szCs w:val="22"/>
        </w:rPr>
        <w:t>Over the last decade, the operating environment for BDUs and consequently SRDUs has changed dramatically.  Whereas in the past, Canadians looked to domestic distribution services for information and entertainment, they can now access a virtually unlimited array of DMBUs such as Netflix, Disney+, Amazon Prime Video, and Ap</w:t>
      </w:r>
      <w:r w:rsidR="009E562D">
        <w:rPr>
          <w:rFonts w:cs="Arial"/>
          <w:szCs w:val="22"/>
        </w:rPr>
        <w:t>ple+, most of which are foreign-</w:t>
      </w:r>
      <w:r w:rsidRPr="00EC0718">
        <w:rPr>
          <w:rFonts w:cs="Arial"/>
          <w:szCs w:val="22"/>
        </w:rPr>
        <w:t xml:space="preserve">owned and </w:t>
      </w:r>
      <w:r w:rsidR="009E562D">
        <w:rPr>
          <w:rFonts w:cs="Arial"/>
          <w:szCs w:val="22"/>
        </w:rPr>
        <w:t>-</w:t>
      </w:r>
      <w:r w:rsidRPr="00EC0718">
        <w:rPr>
          <w:rFonts w:cs="Arial"/>
          <w:szCs w:val="22"/>
        </w:rPr>
        <w:t>controlled.</w:t>
      </w:r>
    </w:p>
    <w:p w14:paraId="67629452" w14:textId="77777777" w:rsidR="008853A6" w:rsidRPr="00EC0718" w:rsidRDefault="008853A6" w:rsidP="008853A6">
      <w:pPr>
        <w:spacing w:line="360" w:lineRule="auto"/>
        <w:jc w:val="both"/>
        <w:rPr>
          <w:rFonts w:cs="Arial"/>
          <w:szCs w:val="22"/>
        </w:rPr>
      </w:pPr>
    </w:p>
    <w:p w14:paraId="4BE0FD6F" w14:textId="6B35F5A9" w:rsidR="008853A6" w:rsidRPr="00EC0718" w:rsidRDefault="008853A6" w:rsidP="008853A6">
      <w:pPr>
        <w:widowControl/>
        <w:numPr>
          <w:ilvl w:val="0"/>
          <w:numId w:val="3"/>
        </w:numPr>
        <w:spacing w:line="360" w:lineRule="auto"/>
        <w:jc w:val="both"/>
        <w:rPr>
          <w:rFonts w:cs="Arial"/>
          <w:szCs w:val="22"/>
        </w:rPr>
      </w:pPr>
      <w:r w:rsidRPr="00EC0718">
        <w:rPr>
          <w:rFonts w:cs="Arial"/>
          <w:szCs w:val="22"/>
        </w:rPr>
        <w:t>The emergence of these streaming options has had a significant impact on the traditional broadcasting system.</w:t>
      </w:r>
      <w:r w:rsidR="00D924A0">
        <w:rPr>
          <w:rFonts w:cs="Arial"/>
          <w:szCs w:val="22"/>
        </w:rPr>
        <w:t xml:space="preserve"> </w:t>
      </w:r>
      <w:r w:rsidRPr="00EC0718">
        <w:rPr>
          <w:rFonts w:cs="Arial"/>
          <w:szCs w:val="22"/>
        </w:rPr>
        <w:t xml:space="preserve"> The Commission itself has recognized the negative impact on the broadcasting system, noting that the growing popularity of digital platforms has resulted in a significant impact on Canadians</w:t>
      </w:r>
      <w:r w:rsidR="0068192E">
        <w:rPr>
          <w:rFonts w:cs="Arial"/>
          <w:szCs w:val="22"/>
        </w:rPr>
        <w:t>'</w:t>
      </w:r>
      <w:r w:rsidRPr="00EC0718">
        <w:rPr>
          <w:rFonts w:cs="Arial"/>
          <w:szCs w:val="22"/>
        </w:rPr>
        <w:t xml:space="preserve"> viewing habits, with traditional television viewership declining and </w:t>
      </w:r>
      <w:r w:rsidR="00376407">
        <w:rPr>
          <w:rFonts w:cs="Arial"/>
          <w:szCs w:val="22"/>
        </w:rPr>
        <w:t>over-the-top (</w:t>
      </w:r>
      <w:r w:rsidRPr="00EC0718">
        <w:rPr>
          <w:rFonts w:cs="Arial"/>
          <w:szCs w:val="22"/>
        </w:rPr>
        <w:t>OTT</w:t>
      </w:r>
      <w:r w:rsidR="00376407">
        <w:rPr>
          <w:rFonts w:cs="Arial"/>
          <w:szCs w:val="22"/>
        </w:rPr>
        <w:t>)</w:t>
      </w:r>
      <w:r w:rsidRPr="00EC0718">
        <w:rPr>
          <w:rFonts w:cs="Arial"/>
          <w:szCs w:val="22"/>
        </w:rPr>
        <w:t xml:space="preserve"> viewing increasing, ultimately resulting in audience fragmentation.</w:t>
      </w:r>
      <w:r w:rsidRPr="00EC0718">
        <w:rPr>
          <w:rFonts w:cs="Arial"/>
          <w:szCs w:val="22"/>
          <w:vertAlign w:val="superscript"/>
        </w:rPr>
        <w:footnoteReference w:id="8"/>
      </w:r>
    </w:p>
    <w:p w14:paraId="11675788" w14:textId="77777777" w:rsidR="008853A6" w:rsidRPr="00EC0718" w:rsidRDefault="008853A6" w:rsidP="008853A6">
      <w:pPr>
        <w:spacing w:line="360" w:lineRule="auto"/>
        <w:jc w:val="both"/>
        <w:rPr>
          <w:rFonts w:cs="Arial"/>
          <w:bCs/>
          <w:szCs w:val="22"/>
        </w:rPr>
      </w:pPr>
    </w:p>
    <w:p w14:paraId="4495A578" w14:textId="77777777" w:rsidR="008853A6" w:rsidRPr="00EC0718" w:rsidRDefault="008853A6" w:rsidP="008853A6">
      <w:pPr>
        <w:widowControl/>
        <w:numPr>
          <w:ilvl w:val="0"/>
          <w:numId w:val="3"/>
        </w:numPr>
        <w:tabs>
          <w:tab w:val="clear" w:pos="720"/>
        </w:tabs>
        <w:spacing w:line="360" w:lineRule="auto"/>
        <w:jc w:val="both"/>
        <w:rPr>
          <w:rFonts w:cs="Arial"/>
          <w:szCs w:val="22"/>
        </w:rPr>
      </w:pPr>
      <w:r w:rsidRPr="00EC0718">
        <w:rPr>
          <w:rFonts w:cs="Arial"/>
          <w:bCs/>
          <w:szCs w:val="22"/>
        </w:rPr>
        <w:t>As seen in Figure 1 below, subscribers to Canadian BDUs have declined by 17% since 2015.</w:t>
      </w:r>
      <w:r w:rsidRPr="00EC0718">
        <w:rPr>
          <w:rStyle w:val="FootnoteReference"/>
          <w:rFonts w:cs="Arial"/>
          <w:bCs/>
          <w:szCs w:val="22"/>
        </w:rPr>
        <w:footnoteReference w:id="9"/>
      </w:r>
      <w:r w:rsidRPr="00EC0718">
        <w:rPr>
          <w:rFonts w:cs="Arial"/>
          <w:bCs/>
          <w:szCs w:val="22"/>
        </w:rPr>
        <w:t xml:space="preserve">  This represents a stunning decline of 1.6 million subscribers.</w:t>
      </w:r>
    </w:p>
    <w:p w14:paraId="3BF9B4C0" w14:textId="77777777" w:rsidR="008853A6" w:rsidRPr="00EC0718" w:rsidRDefault="008853A6" w:rsidP="005579FD">
      <w:pPr>
        <w:widowControl/>
        <w:tabs>
          <w:tab w:val="clear" w:pos="720"/>
        </w:tabs>
        <w:jc w:val="both"/>
        <w:rPr>
          <w:rFonts w:cs="Arial"/>
          <w:szCs w:val="22"/>
        </w:rPr>
      </w:pPr>
    </w:p>
    <w:p w14:paraId="75980084" w14:textId="77777777" w:rsidR="005579FD" w:rsidRPr="006A63CE" w:rsidRDefault="005579FD" w:rsidP="005579FD">
      <w:pPr>
        <w:pStyle w:val="Default"/>
        <w:jc w:val="center"/>
        <w:rPr>
          <w:rFonts w:ascii="Arial" w:hAnsi="Arial" w:cs="Arial"/>
          <w:b/>
          <w:color w:val="auto"/>
          <w:sz w:val="22"/>
          <w:szCs w:val="22"/>
          <w:shd w:val="clear" w:color="auto" w:fill="FFFFFF"/>
        </w:rPr>
      </w:pPr>
      <w:r w:rsidRPr="006A63CE">
        <w:rPr>
          <w:rFonts w:ascii="Arial" w:hAnsi="Arial" w:cs="Arial"/>
          <w:b/>
          <w:color w:val="auto"/>
          <w:sz w:val="22"/>
          <w:szCs w:val="22"/>
          <w:shd w:val="clear" w:color="auto" w:fill="FFFFFF"/>
        </w:rPr>
        <w:t>Figure 1 – Total BDU Customers 2015-2022</w:t>
      </w:r>
    </w:p>
    <w:p w14:paraId="6358AED4" w14:textId="77777777" w:rsidR="008853A6" w:rsidRPr="00EC0718" w:rsidRDefault="008853A6" w:rsidP="005579FD">
      <w:pPr>
        <w:widowControl/>
        <w:tabs>
          <w:tab w:val="clear" w:pos="720"/>
        </w:tabs>
        <w:jc w:val="both"/>
        <w:rPr>
          <w:rFonts w:cs="Arial"/>
          <w:szCs w:val="22"/>
        </w:rPr>
      </w:pPr>
    </w:p>
    <w:p w14:paraId="5C37E3FD" w14:textId="77777777" w:rsidR="008853A6" w:rsidRPr="00EC0718" w:rsidRDefault="005579FD" w:rsidP="005579FD">
      <w:pPr>
        <w:widowControl/>
        <w:tabs>
          <w:tab w:val="clear" w:pos="720"/>
        </w:tabs>
        <w:jc w:val="center"/>
        <w:rPr>
          <w:rFonts w:cs="Arial"/>
          <w:szCs w:val="22"/>
        </w:rPr>
      </w:pPr>
      <w:r w:rsidRPr="00EC0718">
        <w:rPr>
          <w:rFonts w:cs="Arial"/>
          <w:noProof/>
          <w:szCs w:val="22"/>
          <w:lang w:val="en-CA"/>
        </w:rPr>
        <w:drawing>
          <wp:inline distT="0" distB="0" distL="0" distR="0" wp14:anchorId="079D9ABA" wp14:editId="44459382">
            <wp:extent cx="4584700" cy="26949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694940"/>
                    </a:xfrm>
                    <a:prstGeom prst="rect">
                      <a:avLst/>
                    </a:prstGeom>
                    <a:noFill/>
                  </pic:spPr>
                </pic:pic>
              </a:graphicData>
            </a:graphic>
          </wp:inline>
        </w:drawing>
      </w:r>
    </w:p>
    <w:p w14:paraId="67324D1B" w14:textId="77777777" w:rsidR="005579FD" w:rsidRPr="00EC0718" w:rsidRDefault="005579FD" w:rsidP="008853A6">
      <w:pPr>
        <w:widowControl/>
        <w:tabs>
          <w:tab w:val="clear" w:pos="720"/>
        </w:tabs>
        <w:spacing w:line="360" w:lineRule="auto"/>
        <w:jc w:val="both"/>
        <w:rPr>
          <w:rFonts w:cs="Arial"/>
          <w:szCs w:val="22"/>
        </w:rPr>
      </w:pPr>
    </w:p>
    <w:p w14:paraId="0FC4E9BE" w14:textId="12E0CD7B" w:rsidR="004A58D5" w:rsidRPr="00EC0718" w:rsidRDefault="004A58D5" w:rsidP="004A58D5">
      <w:pPr>
        <w:widowControl/>
        <w:numPr>
          <w:ilvl w:val="0"/>
          <w:numId w:val="3"/>
        </w:numPr>
        <w:spacing w:line="360" w:lineRule="auto"/>
        <w:jc w:val="both"/>
        <w:rPr>
          <w:rFonts w:cs="Arial"/>
          <w:szCs w:val="22"/>
        </w:rPr>
      </w:pPr>
      <w:r w:rsidRPr="00EC0718">
        <w:rPr>
          <w:rFonts w:cs="Arial"/>
          <w:szCs w:val="22"/>
        </w:rPr>
        <w:lastRenderedPageBreak/>
        <w:t>As revealed by Figure 2, the decline in direct-to-home (DTH) satellite</w:t>
      </w:r>
      <w:r w:rsidR="008B713D">
        <w:rPr>
          <w:rFonts w:cs="Arial"/>
          <w:szCs w:val="22"/>
        </w:rPr>
        <w:t>-</w:t>
      </w:r>
      <w:r w:rsidRPr="00EC0718">
        <w:rPr>
          <w:rFonts w:cs="Arial"/>
          <w:szCs w:val="22"/>
        </w:rPr>
        <w:t xml:space="preserve">delivered TV has been even more dramatic. </w:t>
      </w:r>
      <w:r w:rsidR="00D924A0">
        <w:rPr>
          <w:rFonts w:cs="Arial"/>
          <w:szCs w:val="22"/>
        </w:rPr>
        <w:t xml:space="preserve"> </w:t>
      </w:r>
      <w:r w:rsidRPr="00EC0718">
        <w:rPr>
          <w:rFonts w:cs="Arial"/>
          <w:szCs w:val="22"/>
        </w:rPr>
        <w:t>From 2015</w:t>
      </w:r>
      <w:r w:rsidR="008B713D">
        <w:rPr>
          <w:rFonts w:cs="Arial"/>
          <w:szCs w:val="22"/>
        </w:rPr>
        <w:t xml:space="preserve"> to </w:t>
      </w:r>
      <w:r w:rsidRPr="00EC0718">
        <w:rPr>
          <w:rFonts w:cs="Arial"/>
          <w:szCs w:val="22"/>
        </w:rPr>
        <w:t>2022, DTH subscribers have declined by 43%</w:t>
      </w:r>
      <w:r w:rsidRPr="00EC0718">
        <w:rPr>
          <w:rStyle w:val="FootnoteReference"/>
          <w:rFonts w:cs="Arial"/>
          <w:szCs w:val="22"/>
        </w:rPr>
        <w:footnoteReference w:id="10"/>
      </w:r>
      <w:r w:rsidRPr="00EC0718">
        <w:rPr>
          <w:rFonts w:cs="Arial"/>
          <w:szCs w:val="22"/>
        </w:rPr>
        <w:t xml:space="preserve"> and DTH revenues have </w:t>
      </w:r>
      <w:r w:rsidR="007718BB">
        <w:rPr>
          <w:rFonts w:cs="Arial"/>
          <w:szCs w:val="22"/>
        </w:rPr>
        <w:t>decreased</w:t>
      </w:r>
      <w:r w:rsidRPr="00EC0718">
        <w:rPr>
          <w:rFonts w:cs="Arial"/>
          <w:szCs w:val="22"/>
        </w:rPr>
        <w:t xml:space="preserve"> by 36%.</w:t>
      </w:r>
      <w:r w:rsidRPr="00EC0718">
        <w:rPr>
          <w:rStyle w:val="FootnoteReference"/>
          <w:rFonts w:cs="Arial"/>
          <w:szCs w:val="22"/>
        </w:rPr>
        <w:footnoteReference w:id="11"/>
      </w:r>
    </w:p>
    <w:p w14:paraId="1047C4D7" w14:textId="77777777" w:rsidR="004A58D5" w:rsidRPr="00EC0718" w:rsidRDefault="004A58D5" w:rsidP="004A58D5">
      <w:pPr>
        <w:widowControl/>
        <w:tabs>
          <w:tab w:val="clear" w:pos="720"/>
        </w:tabs>
        <w:jc w:val="both"/>
        <w:rPr>
          <w:rFonts w:cs="Arial"/>
          <w:szCs w:val="22"/>
        </w:rPr>
      </w:pPr>
    </w:p>
    <w:p w14:paraId="2C572308" w14:textId="77777777" w:rsidR="004A58D5" w:rsidRPr="007F56CA" w:rsidRDefault="004A58D5" w:rsidP="004A58D5">
      <w:pPr>
        <w:widowControl/>
        <w:tabs>
          <w:tab w:val="clear" w:pos="720"/>
        </w:tabs>
        <w:jc w:val="center"/>
        <w:rPr>
          <w:rFonts w:cs="Arial"/>
          <w:b/>
          <w:szCs w:val="22"/>
        </w:rPr>
      </w:pPr>
      <w:r w:rsidRPr="007F56CA">
        <w:rPr>
          <w:rFonts w:cs="Arial"/>
          <w:b/>
          <w:szCs w:val="22"/>
          <w:shd w:val="clear" w:color="auto" w:fill="FFFFFF"/>
        </w:rPr>
        <w:t>Figure 2 – Total Satellite BDU Customers 2015-2022</w:t>
      </w:r>
    </w:p>
    <w:p w14:paraId="25E7A2DB" w14:textId="77777777" w:rsidR="004A58D5" w:rsidRPr="00EC0718" w:rsidRDefault="004A58D5" w:rsidP="004A58D5">
      <w:pPr>
        <w:widowControl/>
        <w:tabs>
          <w:tab w:val="clear" w:pos="720"/>
        </w:tabs>
        <w:jc w:val="both"/>
        <w:rPr>
          <w:rFonts w:cs="Arial"/>
          <w:szCs w:val="22"/>
        </w:rPr>
      </w:pPr>
    </w:p>
    <w:p w14:paraId="425F60D5" w14:textId="77777777" w:rsidR="004A58D5" w:rsidRPr="00EC0718" w:rsidRDefault="004A58D5" w:rsidP="004A58D5">
      <w:pPr>
        <w:widowControl/>
        <w:tabs>
          <w:tab w:val="clear" w:pos="720"/>
        </w:tabs>
        <w:jc w:val="center"/>
        <w:rPr>
          <w:rFonts w:cs="Arial"/>
          <w:szCs w:val="22"/>
        </w:rPr>
      </w:pPr>
      <w:r w:rsidRPr="00EC0718">
        <w:rPr>
          <w:rFonts w:cs="Arial"/>
          <w:noProof/>
          <w:szCs w:val="22"/>
          <w:lang w:val="en-CA"/>
        </w:rPr>
        <w:drawing>
          <wp:inline distT="0" distB="0" distL="0" distR="0" wp14:anchorId="3C38B612" wp14:editId="66ADB431">
            <wp:extent cx="4150360" cy="2494815"/>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1828" cy="2501708"/>
                    </a:xfrm>
                    <a:prstGeom prst="rect">
                      <a:avLst/>
                    </a:prstGeom>
                    <a:noFill/>
                  </pic:spPr>
                </pic:pic>
              </a:graphicData>
            </a:graphic>
          </wp:inline>
        </w:drawing>
      </w:r>
    </w:p>
    <w:p w14:paraId="6012AAD6" w14:textId="77777777" w:rsidR="004A58D5" w:rsidRPr="00EC0718" w:rsidRDefault="004A58D5" w:rsidP="004A58D5">
      <w:pPr>
        <w:widowControl/>
        <w:tabs>
          <w:tab w:val="clear" w:pos="720"/>
        </w:tabs>
        <w:spacing w:line="360" w:lineRule="auto"/>
        <w:jc w:val="both"/>
        <w:rPr>
          <w:rFonts w:cs="Arial"/>
          <w:szCs w:val="22"/>
        </w:rPr>
      </w:pPr>
    </w:p>
    <w:p w14:paraId="4730BD51" w14:textId="79635D65" w:rsidR="00CB302F" w:rsidRPr="00EC0718" w:rsidRDefault="00CB302F" w:rsidP="00CB302F">
      <w:pPr>
        <w:widowControl/>
        <w:numPr>
          <w:ilvl w:val="0"/>
          <w:numId w:val="3"/>
        </w:numPr>
        <w:spacing w:line="360" w:lineRule="auto"/>
        <w:jc w:val="both"/>
        <w:rPr>
          <w:rFonts w:cs="Arial"/>
          <w:szCs w:val="22"/>
        </w:rPr>
      </w:pPr>
      <w:r w:rsidRPr="00EC0718">
        <w:rPr>
          <w:rFonts w:cs="Arial"/>
          <w:bCs/>
          <w:szCs w:val="22"/>
        </w:rPr>
        <w:t>These cord cutters are turning to a wealth of foreign-owned DMBUs readily available in Canada.  Netflix, Amazon Prime Video, Disney+, Apple TV+, and Paramount+ are all growing, and these services compete</w:t>
      </w:r>
      <w:r w:rsidRPr="00EC0718">
        <w:rPr>
          <w:rFonts w:cs="Arial"/>
          <w:bCs/>
          <w:szCs w:val="22"/>
          <w:lang w:val="en-CA"/>
        </w:rPr>
        <w:t xml:space="preserve"> with Canadian distributors for the same subscribers without being subject to the same regulatory obligations as the traditional broadcasting industry.  For example, </w:t>
      </w:r>
      <w:r w:rsidR="008B713D">
        <w:rPr>
          <w:rFonts w:cs="Arial"/>
          <w:bCs/>
          <w:szCs w:val="22"/>
          <w:lang w:val="en-CA"/>
        </w:rPr>
        <w:t>t</w:t>
      </w:r>
      <w:r w:rsidRPr="00EC0718">
        <w:rPr>
          <w:rFonts w:cs="Arial"/>
          <w:szCs w:val="22"/>
        </w:rPr>
        <w:t>he Media Technology Monitor Fall 2021 Adoption Report shows that 22% of Anglophones and 15% of Francophones aged 18+ now watch TV exclusively online, up from 5% and 2% respectively in 2012.</w:t>
      </w:r>
      <w:r w:rsidR="009648E5">
        <w:rPr>
          <w:rStyle w:val="FootnoteReference"/>
          <w:rFonts w:cs="Arial"/>
          <w:szCs w:val="22"/>
        </w:rPr>
        <w:footnoteReference w:id="12"/>
      </w:r>
    </w:p>
    <w:p w14:paraId="33DBA3A5" w14:textId="77777777" w:rsidR="00CB302F" w:rsidRPr="00EC0718" w:rsidRDefault="00CB302F" w:rsidP="00CB302F">
      <w:pPr>
        <w:spacing w:line="360" w:lineRule="auto"/>
        <w:jc w:val="both"/>
        <w:rPr>
          <w:rFonts w:cs="Arial"/>
          <w:szCs w:val="22"/>
        </w:rPr>
      </w:pPr>
    </w:p>
    <w:p w14:paraId="0C21B4E8" w14:textId="77777777" w:rsidR="00CB302F" w:rsidRPr="00EC0718" w:rsidRDefault="00CB302F" w:rsidP="00CB302F">
      <w:pPr>
        <w:widowControl/>
        <w:numPr>
          <w:ilvl w:val="0"/>
          <w:numId w:val="3"/>
        </w:numPr>
        <w:tabs>
          <w:tab w:val="clear" w:pos="720"/>
        </w:tabs>
        <w:spacing w:line="360" w:lineRule="auto"/>
        <w:jc w:val="both"/>
        <w:rPr>
          <w:rFonts w:cs="Arial"/>
          <w:szCs w:val="22"/>
          <w:lang w:val="en-CA"/>
        </w:rPr>
      </w:pPr>
      <w:r w:rsidRPr="00EC0718">
        <w:rPr>
          <w:rFonts w:cs="Arial"/>
          <w:szCs w:val="22"/>
          <w:lang w:val="en-CA"/>
        </w:rPr>
        <w:t>The general decline in BDU revenues and subscribers is mirrored in the financial performance of our wholesale SRDU business (as shown in the next section).  The financial performance of the only other SRDU (Shaw Broadcast Services) is not publically available; however, we suspect they are experiencing similar declines.</w:t>
      </w:r>
    </w:p>
    <w:p w14:paraId="0425D218" w14:textId="5623C5E0" w:rsidR="001B27DC" w:rsidRDefault="001B27DC">
      <w:pPr>
        <w:widowControl/>
        <w:tabs>
          <w:tab w:val="clear" w:pos="720"/>
        </w:tabs>
        <w:spacing w:after="160" w:line="259" w:lineRule="auto"/>
        <w:rPr>
          <w:rFonts w:cs="Arial"/>
          <w:szCs w:val="22"/>
          <w:lang w:val="en-CA"/>
        </w:rPr>
      </w:pPr>
      <w:r>
        <w:rPr>
          <w:rFonts w:cs="Arial"/>
          <w:szCs w:val="22"/>
          <w:lang w:val="en-CA"/>
        </w:rPr>
        <w:br w:type="page"/>
      </w:r>
    </w:p>
    <w:p w14:paraId="39F9A3D5" w14:textId="09322BB1" w:rsidR="002F2528" w:rsidRPr="00EC0718" w:rsidRDefault="002F2528" w:rsidP="002F2528">
      <w:pPr>
        <w:pStyle w:val="Heading1"/>
        <w:rPr>
          <w:lang w:val="en-CA"/>
        </w:rPr>
      </w:pPr>
      <w:bookmarkStart w:id="4" w:name="_Toc161652249"/>
      <w:r w:rsidRPr="00EC0718">
        <w:rPr>
          <w:lang w:val="en-CA"/>
        </w:rPr>
        <w:lastRenderedPageBreak/>
        <w:t>BELL EXPRESSVU</w:t>
      </w:r>
      <w:r w:rsidR="0068192E">
        <w:rPr>
          <w:lang w:val="en-CA"/>
        </w:rPr>
        <w:t>'</w:t>
      </w:r>
      <w:r w:rsidRPr="00EC0718">
        <w:rPr>
          <w:lang w:val="en-CA"/>
        </w:rPr>
        <w:t xml:space="preserve">S SRDU BUSINESS DOES NOT MATERIALLY CONTRIBUTE TO THE OBJECTIVES OF THE </w:t>
      </w:r>
      <w:r w:rsidRPr="00EC0718">
        <w:rPr>
          <w:i/>
          <w:lang w:val="en-CA"/>
        </w:rPr>
        <w:t>ACT</w:t>
      </w:r>
      <w:bookmarkEnd w:id="4"/>
    </w:p>
    <w:p w14:paraId="390EF64D" w14:textId="77777777" w:rsidR="002F2528" w:rsidRPr="00EC0718" w:rsidRDefault="002F2528" w:rsidP="00CB302F">
      <w:pPr>
        <w:widowControl/>
        <w:tabs>
          <w:tab w:val="clear" w:pos="720"/>
        </w:tabs>
        <w:spacing w:line="360" w:lineRule="auto"/>
        <w:jc w:val="both"/>
        <w:rPr>
          <w:rFonts w:cs="Arial"/>
          <w:szCs w:val="22"/>
          <w:lang w:val="en-CA"/>
        </w:rPr>
      </w:pPr>
    </w:p>
    <w:p w14:paraId="0E0BAC3C" w14:textId="7C0C7522" w:rsidR="00BF186D" w:rsidRPr="00EC0718" w:rsidRDefault="00BF186D" w:rsidP="00BF186D">
      <w:pPr>
        <w:widowControl/>
        <w:numPr>
          <w:ilvl w:val="0"/>
          <w:numId w:val="3"/>
        </w:numPr>
        <w:spacing w:line="360" w:lineRule="auto"/>
        <w:jc w:val="both"/>
        <w:rPr>
          <w:rFonts w:cs="Arial"/>
          <w:szCs w:val="22"/>
        </w:rPr>
      </w:pPr>
      <w:r w:rsidRPr="00EC0718">
        <w:rPr>
          <w:rFonts w:cs="Arial"/>
          <w:szCs w:val="22"/>
        </w:rPr>
        <w:t>I</w:t>
      </w:r>
      <w:r w:rsidRPr="00EC0718">
        <w:rPr>
          <w:rFonts w:cs="Arial"/>
          <w:szCs w:val="22"/>
          <w:lang w:val="en-CA"/>
        </w:rPr>
        <w:t xml:space="preserve">n this Part </w:t>
      </w:r>
      <w:r w:rsidR="00A0507E" w:rsidRPr="00EC0718">
        <w:rPr>
          <w:rFonts w:cs="Arial"/>
          <w:szCs w:val="22"/>
          <w:lang w:val="en-CA"/>
        </w:rPr>
        <w:t>1</w:t>
      </w:r>
      <w:r w:rsidRPr="00EC0718">
        <w:rPr>
          <w:rFonts w:cs="Arial"/>
          <w:szCs w:val="22"/>
          <w:lang w:val="en-CA"/>
        </w:rPr>
        <w:t xml:space="preserve"> Application, we request that the Commission remove the existing obligation of our SRDU to contribute to the creation of Canadian programming.  In particular, our SRDU no longer generates sufficient revenues to make a meaningful contribution to the objectives of the </w:t>
      </w:r>
      <w:r w:rsidRPr="00EC0718">
        <w:rPr>
          <w:rFonts w:cs="Arial"/>
          <w:i/>
          <w:szCs w:val="22"/>
          <w:lang w:val="en-CA"/>
        </w:rPr>
        <w:t>Act</w:t>
      </w:r>
      <w:r w:rsidRPr="00EC0718">
        <w:rPr>
          <w:rFonts w:cs="Arial"/>
          <w:szCs w:val="22"/>
          <w:lang w:val="en-CA"/>
        </w:rPr>
        <w:t xml:space="preserve">.  Given the </w:t>
      </w:r>
      <w:r w:rsidRPr="00EC0718">
        <w:rPr>
          <w:rFonts w:cs="Arial"/>
          <w:i/>
          <w:szCs w:val="22"/>
          <w:lang w:val="en-CA"/>
        </w:rPr>
        <w:t>de minimus</w:t>
      </w:r>
      <w:r w:rsidRPr="00EC0718">
        <w:rPr>
          <w:rFonts w:cs="Arial"/>
          <w:szCs w:val="22"/>
          <w:lang w:val="en-CA"/>
        </w:rPr>
        <w:t xml:space="preserve"> amount of revenue generated by our SRDU, it is no longer reasonable or equitable to require it to make ongoing contributions to Canadian programming.</w:t>
      </w:r>
      <w:r w:rsidR="00EC0718">
        <w:rPr>
          <w:rFonts w:cs="Arial"/>
          <w:szCs w:val="22"/>
          <w:lang w:val="en-CA"/>
        </w:rPr>
        <w:t xml:space="preserve"> </w:t>
      </w:r>
      <w:r w:rsidRPr="00EC0718">
        <w:rPr>
          <w:rFonts w:cs="Arial"/>
          <w:szCs w:val="22"/>
          <w:lang w:val="en-CA"/>
        </w:rPr>
        <w:t xml:space="preserve"> Providing the requested relief represents a small step at establishing equity between SRDUs, </w:t>
      </w:r>
      <w:r w:rsidR="00D93716">
        <w:rPr>
          <w:rFonts w:cs="Arial"/>
          <w:szCs w:val="22"/>
          <w:lang w:val="en-CA"/>
        </w:rPr>
        <w:t xml:space="preserve">BDUs, </w:t>
      </w:r>
      <w:r w:rsidRPr="00EC0718">
        <w:rPr>
          <w:rFonts w:cs="Arial"/>
          <w:szCs w:val="22"/>
          <w:lang w:val="en-CA"/>
        </w:rPr>
        <w:t>TRDUs</w:t>
      </w:r>
      <w:r w:rsidR="004B4687">
        <w:rPr>
          <w:rFonts w:cs="Arial"/>
          <w:szCs w:val="22"/>
          <w:lang w:val="en-CA"/>
        </w:rPr>
        <w:t>,</w:t>
      </w:r>
      <w:r w:rsidRPr="00EC0718">
        <w:rPr>
          <w:rFonts w:cs="Arial"/>
          <w:szCs w:val="22"/>
          <w:lang w:val="en-CA"/>
        </w:rPr>
        <w:t xml:space="preserve"> and digital media undertakings.</w:t>
      </w:r>
    </w:p>
    <w:p w14:paraId="70DB3F7A" w14:textId="77777777" w:rsidR="00BF186D" w:rsidRPr="00EC0718" w:rsidRDefault="00BF186D" w:rsidP="00BF186D">
      <w:pPr>
        <w:spacing w:line="360" w:lineRule="auto"/>
        <w:jc w:val="both"/>
        <w:rPr>
          <w:rFonts w:cs="Arial"/>
          <w:szCs w:val="22"/>
          <w:lang w:val="en-CA"/>
        </w:rPr>
      </w:pPr>
    </w:p>
    <w:p w14:paraId="261F28AD" w14:textId="279CB84D" w:rsidR="00BF186D" w:rsidRPr="00EC0718" w:rsidRDefault="00BF186D" w:rsidP="00BF186D">
      <w:pPr>
        <w:widowControl/>
        <w:numPr>
          <w:ilvl w:val="0"/>
          <w:numId w:val="3"/>
        </w:numPr>
        <w:spacing w:line="360" w:lineRule="auto"/>
        <w:jc w:val="both"/>
        <w:rPr>
          <w:rFonts w:cs="Arial"/>
          <w:szCs w:val="22"/>
        </w:rPr>
      </w:pPr>
      <w:r w:rsidRPr="00EC0718">
        <w:rPr>
          <w:rFonts w:cs="Arial"/>
          <w:szCs w:val="22"/>
          <w:lang w:val="en-CA"/>
        </w:rPr>
        <w:t xml:space="preserve">This request aligns with the intent of section 9(4) of the </w:t>
      </w:r>
      <w:r w:rsidRPr="00EC0718">
        <w:rPr>
          <w:rFonts w:cs="Arial"/>
          <w:i/>
          <w:szCs w:val="22"/>
          <w:lang w:val="en-CA"/>
        </w:rPr>
        <w:t>Act</w:t>
      </w:r>
      <w:r w:rsidRPr="00EC0718">
        <w:rPr>
          <w:rFonts w:cs="Arial"/>
          <w:szCs w:val="22"/>
          <w:lang w:val="en-CA"/>
        </w:rPr>
        <w:t xml:space="preserve">, which states that the Commission can exempt undertakings from licensing requirements when </w:t>
      </w:r>
      <w:r w:rsidRPr="00EC0718">
        <w:rPr>
          <w:rFonts w:cs="Arial"/>
          <w:szCs w:val="22"/>
        </w:rPr>
        <w:t>those requirements will not contribute in a material manner to the implementation</w:t>
      </w:r>
      <w:r w:rsidR="004B4687">
        <w:rPr>
          <w:rFonts w:cs="Arial"/>
          <w:szCs w:val="22"/>
        </w:rPr>
        <w:t xml:space="preserve"> of</w:t>
      </w:r>
      <w:r w:rsidRPr="00EC0718">
        <w:rPr>
          <w:rFonts w:cs="Arial"/>
          <w:szCs w:val="22"/>
        </w:rPr>
        <w:t xml:space="preserve"> broadcasting policy</w:t>
      </w:r>
      <w:r w:rsidRPr="00EC0718">
        <w:rPr>
          <w:rFonts w:cs="Arial"/>
          <w:b/>
          <w:szCs w:val="22"/>
        </w:rPr>
        <w:t>.</w:t>
      </w:r>
    </w:p>
    <w:p w14:paraId="14684A58" w14:textId="77777777" w:rsidR="00BF186D" w:rsidRPr="00EC0718" w:rsidRDefault="00BF186D" w:rsidP="00BF186D">
      <w:pPr>
        <w:spacing w:line="360" w:lineRule="auto"/>
        <w:jc w:val="both"/>
        <w:rPr>
          <w:rFonts w:cs="Arial"/>
          <w:szCs w:val="22"/>
        </w:rPr>
      </w:pPr>
    </w:p>
    <w:p w14:paraId="7FF8CF1B" w14:textId="733600F7" w:rsidR="00BF186D" w:rsidRPr="00EC0718" w:rsidRDefault="00BF186D" w:rsidP="00BF186D">
      <w:pPr>
        <w:widowControl/>
        <w:numPr>
          <w:ilvl w:val="0"/>
          <w:numId w:val="3"/>
        </w:numPr>
        <w:spacing w:line="360" w:lineRule="auto"/>
        <w:jc w:val="both"/>
        <w:rPr>
          <w:rFonts w:cs="Arial"/>
          <w:szCs w:val="22"/>
        </w:rPr>
      </w:pPr>
      <w:r w:rsidRPr="00EC0718">
        <w:rPr>
          <w:rFonts w:cs="Arial"/>
          <w:szCs w:val="22"/>
        </w:rPr>
        <w:t>Our SRDU business has declined significantly since the Commission last considered the need for licensing.</w:t>
      </w:r>
      <w:r w:rsidRPr="00EC0718">
        <w:rPr>
          <w:rStyle w:val="FootnoteReference"/>
          <w:rFonts w:cs="Arial"/>
          <w:szCs w:val="22"/>
        </w:rPr>
        <w:footnoteReference w:id="13"/>
      </w:r>
      <w:r w:rsidRPr="00EC0718">
        <w:rPr>
          <w:rFonts w:cs="Arial"/>
          <w:szCs w:val="22"/>
        </w:rPr>
        <w:t xml:space="preserve">  Revenues were </w:t>
      </w:r>
      <w:r w:rsidRPr="00EC0718">
        <w:rPr>
          <w:rFonts w:cs="Arial"/>
          <w:szCs w:val="22"/>
          <w:highlight w:val="yellow"/>
        </w:rPr>
        <w:t>#</w:t>
      </w:r>
      <w:r w:rsidR="001F15CE">
        <w:rPr>
          <w:rFonts w:cs="Arial"/>
          <w:szCs w:val="22"/>
          <w:highlight w:val="yellow"/>
        </w:rPr>
        <w:tab/>
        <w:t xml:space="preserve">    </w:t>
      </w:r>
      <w:r w:rsidRPr="00EC0718">
        <w:rPr>
          <w:rFonts w:cs="Arial"/>
          <w:szCs w:val="22"/>
          <w:highlight w:val="yellow"/>
        </w:rPr>
        <w:t>#</w:t>
      </w:r>
      <w:r w:rsidRPr="00EC0718">
        <w:rPr>
          <w:rFonts w:cs="Arial"/>
          <w:szCs w:val="22"/>
        </w:rPr>
        <w:t xml:space="preserve"> in 2016 and are now only </w:t>
      </w:r>
      <w:r w:rsidRPr="00EC0718">
        <w:rPr>
          <w:rFonts w:cs="Arial"/>
          <w:szCs w:val="22"/>
          <w:highlight w:val="yellow"/>
        </w:rPr>
        <w:t>#</w:t>
      </w:r>
      <w:r w:rsidR="001F15CE">
        <w:rPr>
          <w:rFonts w:cs="Arial"/>
          <w:szCs w:val="22"/>
          <w:highlight w:val="yellow"/>
        </w:rPr>
        <w:tab/>
        <w:t xml:space="preserve">   </w:t>
      </w:r>
      <w:r w:rsidR="004B4687" w:rsidRPr="00EC0718">
        <w:rPr>
          <w:rFonts w:cs="Arial"/>
          <w:szCs w:val="22"/>
          <w:highlight w:val="yellow"/>
        </w:rPr>
        <w:t>#</w:t>
      </w:r>
      <w:r w:rsidR="004B4687">
        <w:rPr>
          <w:rFonts w:cs="Arial"/>
          <w:szCs w:val="22"/>
        </w:rPr>
        <w:t xml:space="preserve">, which </w:t>
      </w:r>
      <w:r w:rsidRPr="00EC0718">
        <w:rPr>
          <w:rFonts w:cs="Arial"/>
          <w:szCs w:val="22"/>
        </w:rPr>
        <w:t xml:space="preserve">represents </w:t>
      </w:r>
      <w:r w:rsidR="004B4687">
        <w:rPr>
          <w:rFonts w:cs="Arial"/>
          <w:szCs w:val="22"/>
        </w:rPr>
        <w:t xml:space="preserve">a </w:t>
      </w:r>
      <w:r w:rsidRPr="00EC0718">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decline in revenue (or </w:t>
      </w:r>
      <w:r w:rsidRPr="00EC0718">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in absolute terms).</w:t>
      </w:r>
    </w:p>
    <w:p w14:paraId="072E4768" w14:textId="77777777" w:rsidR="00BF186D" w:rsidRPr="00EC0718" w:rsidRDefault="00BF186D" w:rsidP="00BF186D">
      <w:pPr>
        <w:spacing w:line="360" w:lineRule="auto"/>
        <w:jc w:val="both"/>
        <w:rPr>
          <w:rFonts w:cs="Arial"/>
          <w:szCs w:val="22"/>
        </w:rPr>
      </w:pPr>
    </w:p>
    <w:p w14:paraId="1576195B" w14:textId="365E348B" w:rsidR="00BF186D" w:rsidRPr="00EC0718" w:rsidRDefault="00BF186D" w:rsidP="00BF186D">
      <w:pPr>
        <w:widowControl/>
        <w:numPr>
          <w:ilvl w:val="0"/>
          <w:numId w:val="3"/>
        </w:numPr>
        <w:spacing w:line="360" w:lineRule="auto"/>
        <w:jc w:val="both"/>
        <w:rPr>
          <w:rFonts w:cs="Arial"/>
          <w:szCs w:val="22"/>
        </w:rPr>
      </w:pPr>
      <w:r w:rsidRPr="00EC0718">
        <w:rPr>
          <w:rFonts w:cs="Arial"/>
          <w:szCs w:val="22"/>
        </w:rPr>
        <w:t xml:space="preserve">In our view, a business generating </w:t>
      </w:r>
      <w:r w:rsidRPr="00EC0718">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in broadcasting revenues cannot make meaningful contributions to broadcasting policy.  In 2023, our SRDU contributed only </w:t>
      </w:r>
      <w:r w:rsidRPr="00EC0718">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towards the creation of Canadian programming</w:t>
      </w:r>
      <w:r w:rsidR="00583C13">
        <w:rPr>
          <w:rFonts w:cs="Arial"/>
          <w:szCs w:val="22"/>
        </w:rPr>
        <w:t xml:space="preserve"> – </w:t>
      </w:r>
      <w:r w:rsidRPr="00EC0718">
        <w:rPr>
          <w:rFonts w:cs="Arial"/>
          <w:szCs w:val="22"/>
        </w:rPr>
        <w:t xml:space="preserve">a </w:t>
      </w:r>
      <w:r w:rsidR="008E4AB3">
        <w:rPr>
          <w:rFonts w:cs="Arial"/>
          <w:szCs w:val="22"/>
        </w:rPr>
        <w:t>large decline</w:t>
      </w:r>
      <w:r w:rsidRPr="00EC0718">
        <w:rPr>
          <w:rFonts w:cs="Arial"/>
          <w:szCs w:val="22"/>
        </w:rPr>
        <w:t xml:space="preserve"> from the </w:t>
      </w:r>
      <w:r w:rsidRPr="008E4AB3">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that our SRDU service contributed in 201</w:t>
      </w:r>
      <w:r w:rsidR="00C120FB">
        <w:rPr>
          <w:rFonts w:cs="Arial"/>
          <w:szCs w:val="22"/>
        </w:rPr>
        <w:t>6</w:t>
      </w:r>
      <w:r w:rsidRPr="00EC0718">
        <w:rPr>
          <w:rFonts w:cs="Arial"/>
          <w:szCs w:val="22"/>
        </w:rPr>
        <w:t>.  Clearly, our SRDU service is no longer capable of providing meaningful support to the broadcasting system.</w:t>
      </w:r>
    </w:p>
    <w:p w14:paraId="6EB770DA" w14:textId="77777777" w:rsidR="00BF186D" w:rsidRPr="00EC0718" w:rsidRDefault="00BF186D" w:rsidP="00BF186D">
      <w:pPr>
        <w:spacing w:line="360" w:lineRule="auto"/>
        <w:jc w:val="both"/>
        <w:rPr>
          <w:rFonts w:cs="Arial"/>
          <w:szCs w:val="22"/>
        </w:rPr>
      </w:pPr>
    </w:p>
    <w:p w14:paraId="0E714F43" w14:textId="043AD7F4" w:rsidR="00BF186D" w:rsidRPr="00EC0718" w:rsidRDefault="00BF186D" w:rsidP="00BF186D">
      <w:pPr>
        <w:widowControl/>
        <w:numPr>
          <w:ilvl w:val="0"/>
          <w:numId w:val="3"/>
        </w:numPr>
        <w:spacing w:line="360" w:lineRule="auto"/>
        <w:jc w:val="both"/>
        <w:rPr>
          <w:rFonts w:cs="Arial"/>
          <w:szCs w:val="22"/>
        </w:rPr>
      </w:pPr>
      <w:r w:rsidRPr="00EC0718">
        <w:rPr>
          <w:rFonts w:cs="Arial"/>
          <w:szCs w:val="22"/>
        </w:rPr>
        <w:t>We note that the licensed broadcasting revenue of our SRDU is well below the established threshold for exemption for BDUs.  BDUs with fewer than two thousand subscribers are exempt from the requirement to contribute to the creation of Canadian programming.  We can estimate the exemption revenue threshold for small BDUs by multiplying the average revenue per user (ARPU) by two thousand subscribers.  The Commission</w:t>
      </w:r>
      <w:r w:rsidR="0068192E">
        <w:rPr>
          <w:rFonts w:cs="Arial"/>
          <w:szCs w:val="22"/>
        </w:rPr>
        <w:t>'</w:t>
      </w:r>
      <w:r w:rsidRPr="00EC0718">
        <w:rPr>
          <w:rFonts w:cs="Arial"/>
          <w:szCs w:val="22"/>
        </w:rPr>
        <w:t>s Communications Monitoring Report conveniently provides the data to calculate ARPU for all BDUs.</w:t>
      </w:r>
      <w:r w:rsidRPr="00EC0718">
        <w:rPr>
          <w:rStyle w:val="FootnoteReference"/>
          <w:rFonts w:cs="Arial"/>
          <w:szCs w:val="22"/>
        </w:rPr>
        <w:footnoteReference w:id="14"/>
      </w:r>
    </w:p>
    <w:p w14:paraId="18297823" w14:textId="06E21DA4" w:rsidR="00571AA0" w:rsidRDefault="00571AA0" w:rsidP="00571AA0">
      <w:pPr>
        <w:spacing w:line="360" w:lineRule="auto"/>
        <w:jc w:val="both"/>
        <w:rPr>
          <w:rFonts w:cs="Arial"/>
          <w:szCs w:val="22"/>
        </w:rPr>
      </w:pPr>
      <w:r w:rsidRPr="00571AA0">
        <w:rPr>
          <w:rFonts w:cs="Arial"/>
          <w:szCs w:val="22"/>
          <w:highlight w:val="yellow"/>
        </w:rPr>
        <w:t># Filed in confidence with the CRTC.</w:t>
      </w:r>
      <w:r>
        <w:rPr>
          <w:rFonts w:cs="Arial"/>
          <w:szCs w:val="22"/>
        </w:rPr>
        <w:br w:type="page"/>
      </w:r>
    </w:p>
    <w:p w14:paraId="43DD7B8B" w14:textId="78756FD9" w:rsidR="00BF186D" w:rsidRPr="00EC0718" w:rsidRDefault="00BF186D" w:rsidP="00BF186D">
      <w:pPr>
        <w:widowControl/>
        <w:numPr>
          <w:ilvl w:val="0"/>
          <w:numId w:val="3"/>
        </w:numPr>
        <w:spacing w:line="360" w:lineRule="auto"/>
        <w:jc w:val="both"/>
        <w:rPr>
          <w:rFonts w:cs="Arial"/>
          <w:szCs w:val="22"/>
        </w:rPr>
      </w:pPr>
      <w:r w:rsidRPr="00EC0718">
        <w:rPr>
          <w:rFonts w:cs="Arial"/>
          <w:szCs w:val="22"/>
        </w:rPr>
        <w:lastRenderedPageBreak/>
        <w:t>In 2023, subscribers paid an average of $769 a year for BDU service.</w:t>
      </w:r>
      <w:r w:rsidRPr="00EC0718">
        <w:rPr>
          <w:rStyle w:val="FootnoteReference"/>
          <w:rFonts w:cs="Arial"/>
          <w:szCs w:val="22"/>
        </w:rPr>
        <w:footnoteReference w:id="15"/>
      </w:r>
      <w:r w:rsidRPr="00EC0718">
        <w:rPr>
          <w:rFonts w:cs="Arial"/>
          <w:szCs w:val="22"/>
        </w:rPr>
        <w:t xml:space="preserve">  Multiplying this amount by two thousand subscribers shows that the average exemption threshold for small BDUs is $1.5M.  Our SRDU service only generates </w:t>
      </w:r>
      <w:r w:rsidRPr="00EC0718">
        <w:rPr>
          <w:rFonts w:cs="Arial"/>
          <w:szCs w:val="22"/>
          <w:highlight w:val="yellow"/>
        </w:rPr>
        <w:t>#</w:t>
      </w:r>
      <w:r w:rsidR="001F15CE">
        <w:rPr>
          <w:rFonts w:cs="Arial"/>
          <w:szCs w:val="22"/>
          <w:highlight w:val="yellow"/>
        </w:rPr>
        <w:t xml:space="preserve">     </w:t>
      </w:r>
      <w:r w:rsidRPr="00EC0718">
        <w:rPr>
          <w:rFonts w:cs="Arial"/>
          <w:szCs w:val="22"/>
          <w:highlight w:val="yellow"/>
        </w:rPr>
        <w:t>#</w:t>
      </w:r>
      <w:r w:rsidRPr="00EC0718">
        <w:rPr>
          <w:rFonts w:cs="Arial"/>
          <w:szCs w:val="22"/>
        </w:rPr>
        <w:t xml:space="preserve"> in revenues. </w:t>
      </w:r>
      <w:r w:rsidR="00D924A0">
        <w:rPr>
          <w:rFonts w:cs="Arial"/>
          <w:szCs w:val="22"/>
        </w:rPr>
        <w:t xml:space="preserve"> </w:t>
      </w:r>
      <w:r w:rsidRPr="00EC0718">
        <w:rPr>
          <w:rFonts w:cs="Arial"/>
          <w:szCs w:val="22"/>
        </w:rPr>
        <w:t xml:space="preserve">This amount is fully </w:t>
      </w:r>
      <w:r w:rsidRPr="00EC0718">
        <w:rPr>
          <w:rFonts w:cs="Arial"/>
          <w:szCs w:val="22"/>
          <w:highlight w:val="yellow"/>
        </w:rPr>
        <w:t>#</w:t>
      </w:r>
      <w:r w:rsidR="001F15CE">
        <w:rPr>
          <w:rFonts w:cs="Arial"/>
          <w:szCs w:val="22"/>
          <w:highlight w:val="yellow"/>
        </w:rPr>
        <w:tab/>
        <w:t xml:space="preserve">         </w:t>
      </w:r>
      <w:r w:rsidRPr="00EC0718">
        <w:rPr>
          <w:rFonts w:cs="Arial"/>
          <w:szCs w:val="22"/>
          <w:highlight w:val="yellow"/>
        </w:rPr>
        <w:t>#</w:t>
      </w:r>
      <w:r w:rsidRPr="00EC0718">
        <w:rPr>
          <w:rFonts w:cs="Arial"/>
          <w:szCs w:val="22"/>
        </w:rPr>
        <w:t xml:space="preserve"> less than the existing exemption level for small BDUs</w:t>
      </w:r>
      <w:r w:rsidR="00D334FB">
        <w:t xml:space="preserve"> – </w:t>
      </w:r>
      <w:r w:rsidR="00571AA0">
        <w:rPr>
          <w:rFonts w:cs="Arial"/>
          <w:b/>
          <w:szCs w:val="22"/>
        </w:rPr>
        <w:t xml:space="preserve">the </w:t>
      </w:r>
      <w:r w:rsidRPr="00EC0718">
        <w:rPr>
          <w:rFonts w:cs="Arial"/>
          <w:b/>
          <w:szCs w:val="22"/>
        </w:rPr>
        <w:t>very businesses that often use an SRDU to supplement their programming</w:t>
      </w:r>
      <w:r w:rsidRPr="00EC0718">
        <w:rPr>
          <w:rFonts w:cs="Arial"/>
          <w:szCs w:val="22"/>
        </w:rPr>
        <w:t xml:space="preserve">.  It is logically inconsistent that retail BDU providers with two thousand subscribers </w:t>
      </w:r>
      <w:r w:rsidR="009864AB">
        <w:rPr>
          <w:rFonts w:cs="Arial"/>
          <w:szCs w:val="22"/>
        </w:rPr>
        <w:t xml:space="preserve">or less </w:t>
      </w:r>
      <w:r w:rsidRPr="00EC0718">
        <w:rPr>
          <w:rFonts w:cs="Arial"/>
          <w:szCs w:val="22"/>
        </w:rPr>
        <w:t>are exempt from contribution requirements while SRDUs, their wholesale partners, are required to contribute despite the fact that they earn significantly less revenue.</w:t>
      </w:r>
    </w:p>
    <w:p w14:paraId="22D95DA3" w14:textId="77777777" w:rsidR="00BF186D" w:rsidRPr="00EC0718" w:rsidRDefault="00BF186D" w:rsidP="00BF186D">
      <w:pPr>
        <w:spacing w:line="360" w:lineRule="auto"/>
        <w:jc w:val="both"/>
        <w:rPr>
          <w:rFonts w:cs="Arial"/>
          <w:szCs w:val="22"/>
        </w:rPr>
      </w:pPr>
    </w:p>
    <w:p w14:paraId="586A7F17" w14:textId="77777777" w:rsidR="00F61516" w:rsidRPr="00EC0718" w:rsidRDefault="00F61516" w:rsidP="00F61516">
      <w:pPr>
        <w:pStyle w:val="Heading1"/>
      </w:pPr>
      <w:bookmarkStart w:id="5" w:name="_Toc161652250"/>
      <w:r w:rsidRPr="00EC0718">
        <w:t>THE COMMISSION SHOULD EXEMPT ALL SRDUs FROM REGULATION</w:t>
      </w:r>
      <w:bookmarkEnd w:id="5"/>
      <w:r w:rsidRPr="00EC0718">
        <w:t xml:space="preserve"> </w:t>
      </w:r>
    </w:p>
    <w:p w14:paraId="089A7963" w14:textId="77777777" w:rsidR="00F61516" w:rsidRPr="00EC0718" w:rsidRDefault="00F61516" w:rsidP="00F61516">
      <w:pPr>
        <w:widowControl/>
        <w:spacing w:line="360" w:lineRule="auto"/>
        <w:jc w:val="both"/>
        <w:rPr>
          <w:rFonts w:cs="Arial"/>
          <w:szCs w:val="22"/>
        </w:rPr>
      </w:pPr>
    </w:p>
    <w:p w14:paraId="292F9140" w14:textId="14CE37F5" w:rsidR="00F61516" w:rsidRPr="00EC0718" w:rsidRDefault="00F61516" w:rsidP="00F61516">
      <w:pPr>
        <w:pStyle w:val="Heading2"/>
      </w:pPr>
      <w:bookmarkStart w:id="6" w:name="_Toc161652251"/>
      <w:r w:rsidRPr="00EC0718">
        <w:t xml:space="preserve">SRDU Licensing is </w:t>
      </w:r>
      <w:r w:rsidR="00B41BFF">
        <w:t>B</w:t>
      </w:r>
      <w:r w:rsidRPr="00EC0718">
        <w:t xml:space="preserve">urdensome and </w:t>
      </w:r>
      <w:r w:rsidR="00B41BFF">
        <w:t>U</w:t>
      </w:r>
      <w:r w:rsidRPr="00EC0718">
        <w:t>nnecessary</w:t>
      </w:r>
      <w:bookmarkEnd w:id="6"/>
    </w:p>
    <w:p w14:paraId="20E40644" w14:textId="77777777" w:rsidR="00BF186D" w:rsidRPr="00EC0718" w:rsidRDefault="00BF186D" w:rsidP="00BF186D">
      <w:pPr>
        <w:widowControl/>
        <w:spacing w:line="360" w:lineRule="auto"/>
        <w:jc w:val="both"/>
        <w:rPr>
          <w:rFonts w:cs="Arial"/>
          <w:szCs w:val="22"/>
        </w:rPr>
      </w:pPr>
    </w:p>
    <w:p w14:paraId="66D11327" w14:textId="674E69FE" w:rsidR="007E286D" w:rsidRPr="00EC0718" w:rsidRDefault="007E286D" w:rsidP="007E286D">
      <w:pPr>
        <w:numPr>
          <w:ilvl w:val="0"/>
          <w:numId w:val="3"/>
        </w:numPr>
        <w:tabs>
          <w:tab w:val="left" w:pos="720"/>
        </w:tabs>
        <w:autoSpaceDE w:val="0"/>
        <w:autoSpaceDN w:val="0"/>
        <w:spacing w:line="360" w:lineRule="auto"/>
        <w:ind w:right="111"/>
        <w:contextualSpacing/>
        <w:jc w:val="both"/>
        <w:rPr>
          <w:rFonts w:eastAsia="Calibri" w:cs="Arial"/>
          <w:szCs w:val="22"/>
          <w:lang w:val="en-CA" w:eastAsia="en-US"/>
        </w:rPr>
      </w:pPr>
      <w:r w:rsidRPr="00EC0718">
        <w:rPr>
          <w:rFonts w:eastAsia="Calibri" w:cs="Arial"/>
          <w:szCs w:val="22"/>
          <w:lang w:val="en-CA" w:eastAsia="en-US"/>
        </w:rPr>
        <w:t xml:space="preserve">While this Part </w:t>
      </w:r>
      <w:r w:rsidR="00A0507E" w:rsidRPr="00EC0718">
        <w:rPr>
          <w:rFonts w:eastAsia="Calibri" w:cs="Arial"/>
          <w:szCs w:val="22"/>
          <w:lang w:val="en-CA" w:eastAsia="en-US"/>
        </w:rPr>
        <w:t xml:space="preserve">1 </w:t>
      </w:r>
      <w:r w:rsidRPr="00EC0718">
        <w:rPr>
          <w:rFonts w:eastAsia="Calibri" w:cs="Arial"/>
          <w:szCs w:val="22"/>
          <w:lang w:val="en-CA" w:eastAsia="en-US"/>
        </w:rPr>
        <w:t xml:space="preserve">Application is a request that the Commission modify the </w:t>
      </w:r>
      <w:r w:rsidR="00D334FB">
        <w:rPr>
          <w:rFonts w:eastAsia="Calibri" w:cs="Arial"/>
          <w:szCs w:val="22"/>
          <w:lang w:val="en-CA" w:eastAsia="en-US"/>
        </w:rPr>
        <w:t>COS</w:t>
      </w:r>
      <w:r w:rsidRPr="00EC0718">
        <w:rPr>
          <w:rFonts w:eastAsia="Calibri" w:cs="Arial"/>
          <w:szCs w:val="22"/>
          <w:lang w:val="en-CA" w:eastAsia="en-US"/>
        </w:rPr>
        <w:t xml:space="preserve"> of our SRDU by eliminating the requirement that it make contributions to Canadian programming, we believe that SRDUs should be exempted from all regulation. </w:t>
      </w:r>
      <w:r w:rsidR="00A0507E" w:rsidRPr="00EC0718">
        <w:rPr>
          <w:rFonts w:eastAsia="Calibri" w:cs="Arial"/>
          <w:szCs w:val="22"/>
          <w:lang w:val="en-CA" w:eastAsia="en-US"/>
        </w:rPr>
        <w:t xml:space="preserve"> </w:t>
      </w:r>
      <w:r w:rsidRPr="00EC0718">
        <w:rPr>
          <w:rFonts w:eastAsia="Calibri" w:cs="Arial"/>
          <w:szCs w:val="22"/>
          <w:lang w:val="en-CA" w:eastAsia="en-US"/>
        </w:rPr>
        <w:t>We therefore request that the Commission initiate a policy review on this subject.</w:t>
      </w:r>
      <w:r w:rsidR="00A0507E" w:rsidRPr="00EC0718">
        <w:rPr>
          <w:rFonts w:eastAsia="Calibri" w:cs="Arial"/>
          <w:szCs w:val="22"/>
          <w:lang w:val="en-CA" w:eastAsia="en-US"/>
        </w:rPr>
        <w:t xml:space="preserve"> </w:t>
      </w:r>
      <w:r w:rsidRPr="00EC0718">
        <w:rPr>
          <w:rFonts w:eastAsia="Calibri" w:cs="Arial"/>
          <w:szCs w:val="22"/>
          <w:lang w:val="en-CA" w:eastAsia="en-US"/>
        </w:rPr>
        <w:t xml:space="preserve"> We believe that current licensing requirements for small SRDU wholesale businesses runs contrary to the Government</w:t>
      </w:r>
      <w:r w:rsidR="0068192E">
        <w:rPr>
          <w:rFonts w:eastAsia="Calibri" w:cs="Arial"/>
          <w:szCs w:val="22"/>
          <w:lang w:val="en-CA" w:eastAsia="en-US"/>
        </w:rPr>
        <w:t>'</w:t>
      </w:r>
      <w:r w:rsidRPr="00EC0718">
        <w:rPr>
          <w:rFonts w:eastAsia="Calibri" w:cs="Arial"/>
          <w:szCs w:val="22"/>
          <w:lang w:val="en-CA" w:eastAsia="en-US"/>
        </w:rPr>
        <w:t xml:space="preserve">s </w:t>
      </w:r>
      <w:r w:rsidR="00D334FB">
        <w:rPr>
          <w:rFonts w:eastAsia="Calibri" w:cs="Arial"/>
          <w:szCs w:val="22"/>
          <w:lang w:val="en-CA" w:eastAsia="en-US"/>
        </w:rPr>
        <w:t xml:space="preserve">2023 Policy </w:t>
      </w:r>
      <w:r w:rsidRPr="00EC0718">
        <w:rPr>
          <w:rFonts w:eastAsia="Calibri" w:cs="Arial"/>
          <w:szCs w:val="22"/>
          <w:lang w:val="en-CA" w:eastAsia="en-US"/>
        </w:rPr>
        <w:t>Direction to the Commission to minimize the regulatory burden on traditional broadcasting services.</w:t>
      </w:r>
    </w:p>
    <w:p w14:paraId="7DD89EB3" w14:textId="77777777" w:rsidR="007E286D" w:rsidRPr="00EC0718" w:rsidRDefault="007E286D" w:rsidP="007E286D">
      <w:pPr>
        <w:spacing w:line="360" w:lineRule="auto"/>
        <w:jc w:val="both"/>
        <w:rPr>
          <w:rFonts w:eastAsia="Calibri" w:cs="Arial"/>
          <w:szCs w:val="22"/>
          <w:lang w:val="en-CA" w:eastAsia="en-US"/>
        </w:rPr>
      </w:pPr>
    </w:p>
    <w:p w14:paraId="27EBE5FA" w14:textId="179B38A3" w:rsidR="00C855F0" w:rsidRDefault="007E286D" w:rsidP="00C855F0">
      <w:pPr>
        <w:numPr>
          <w:ilvl w:val="0"/>
          <w:numId w:val="3"/>
        </w:numPr>
        <w:tabs>
          <w:tab w:val="left" w:pos="720"/>
        </w:tabs>
        <w:autoSpaceDE w:val="0"/>
        <w:autoSpaceDN w:val="0"/>
        <w:spacing w:line="360" w:lineRule="auto"/>
        <w:ind w:right="111"/>
        <w:contextualSpacing/>
        <w:jc w:val="both"/>
        <w:rPr>
          <w:rFonts w:eastAsia="Calibri" w:cs="Arial"/>
          <w:szCs w:val="22"/>
          <w:lang w:val="en-CA" w:eastAsia="en-US"/>
        </w:rPr>
      </w:pPr>
      <w:r w:rsidRPr="00EC0718">
        <w:rPr>
          <w:rFonts w:eastAsia="Calibri" w:cs="Arial"/>
          <w:szCs w:val="22"/>
          <w:lang w:val="en-CA" w:eastAsia="en-US"/>
        </w:rPr>
        <w:t xml:space="preserve">First, as discussed above, SRDUs </w:t>
      </w:r>
      <w:r w:rsidR="00C531E6">
        <w:rPr>
          <w:rFonts w:eastAsia="Calibri" w:cs="Arial"/>
          <w:szCs w:val="22"/>
          <w:lang w:val="en-CA" w:eastAsia="en-US"/>
        </w:rPr>
        <w:t xml:space="preserve">are required to </w:t>
      </w:r>
      <w:r w:rsidRPr="00EC0718">
        <w:rPr>
          <w:rFonts w:eastAsia="Calibri" w:cs="Arial"/>
          <w:szCs w:val="22"/>
          <w:lang w:val="en-CA" w:eastAsia="en-US"/>
        </w:rPr>
        <w:t xml:space="preserve">make contributions towards the creation of Canadian programming despite the fact that these contributions are wholly immaterial to the objectives of the </w:t>
      </w:r>
      <w:r w:rsidRPr="00EC0718">
        <w:rPr>
          <w:rFonts w:eastAsia="Calibri" w:cs="Arial"/>
          <w:i/>
          <w:szCs w:val="22"/>
          <w:lang w:val="en-CA" w:eastAsia="en-US"/>
        </w:rPr>
        <w:t>Act</w:t>
      </w:r>
      <w:r w:rsidRPr="00EC0718">
        <w:rPr>
          <w:rFonts w:eastAsia="Calibri" w:cs="Arial"/>
          <w:szCs w:val="22"/>
          <w:lang w:val="en-CA" w:eastAsia="en-US"/>
        </w:rPr>
        <w:t xml:space="preserve">. </w:t>
      </w:r>
      <w:r w:rsidR="00C531E6">
        <w:rPr>
          <w:rFonts w:eastAsia="Calibri" w:cs="Arial"/>
          <w:szCs w:val="22"/>
          <w:lang w:val="en-CA" w:eastAsia="en-US"/>
        </w:rPr>
        <w:t xml:space="preserve"> </w:t>
      </w:r>
      <w:r w:rsidRPr="00EC0718">
        <w:rPr>
          <w:rFonts w:eastAsia="Calibri" w:cs="Arial"/>
          <w:szCs w:val="22"/>
          <w:lang w:val="en-CA" w:eastAsia="en-US"/>
        </w:rPr>
        <w:t xml:space="preserve">They are, however, meaningful to the SRDU businesses themselves, which have </w:t>
      </w:r>
      <w:r w:rsidR="00C531E6">
        <w:rPr>
          <w:rFonts w:eastAsia="Calibri" w:cs="Arial"/>
          <w:szCs w:val="22"/>
          <w:lang w:val="en-CA" w:eastAsia="en-US"/>
        </w:rPr>
        <w:t>been in decline for many years.</w:t>
      </w:r>
    </w:p>
    <w:p w14:paraId="38D872C6" w14:textId="77777777" w:rsidR="00C855F0" w:rsidRDefault="00C855F0" w:rsidP="00C855F0">
      <w:pPr>
        <w:tabs>
          <w:tab w:val="clear" w:pos="720"/>
        </w:tabs>
        <w:autoSpaceDE w:val="0"/>
        <w:autoSpaceDN w:val="0"/>
        <w:spacing w:line="360" w:lineRule="auto"/>
        <w:ind w:right="111"/>
        <w:contextualSpacing/>
        <w:jc w:val="both"/>
        <w:rPr>
          <w:rFonts w:eastAsia="Calibri" w:cs="Arial"/>
          <w:szCs w:val="22"/>
          <w:lang w:val="en-CA" w:eastAsia="en-US"/>
        </w:rPr>
      </w:pPr>
    </w:p>
    <w:p w14:paraId="53BFC2B7" w14:textId="1F24E4B1" w:rsidR="00C855F0" w:rsidRPr="00C855F0" w:rsidRDefault="007E286D" w:rsidP="00C855F0">
      <w:pPr>
        <w:numPr>
          <w:ilvl w:val="0"/>
          <w:numId w:val="3"/>
        </w:numPr>
        <w:tabs>
          <w:tab w:val="left" w:pos="720"/>
        </w:tabs>
        <w:autoSpaceDE w:val="0"/>
        <w:autoSpaceDN w:val="0"/>
        <w:spacing w:line="360" w:lineRule="auto"/>
        <w:ind w:right="111"/>
        <w:contextualSpacing/>
        <w:jc w:val="both"/>
        <w:rPr>
          <w:rFonts w:eastAsia="Calibri" w:cs="Arial"/>
          <w:szCs w:val="22"/>
          <w:lang w:val="en-CA" w:eastAsia="en-US"/>
        </w:rPr>
      </w:pPr>
      <w:r w:rsidRPr="00C855F0">
        <w:rPr>
          <w:rFonts w:eastAsia="Calibri" w:cs="Arial"/>
          <w:szCs w:val="22"/>
          <w:lang w:val="en-CA" w:eastAsia="en-US"/>
        </w:rPr>
        <w:t>Second, SRDUs must pay Part 1 licence fees</w:t>
      </w:r>
      <w:r w:rsidR="00291B18" w:rsidRPr="00C855F0">
        <w:rPr>
          <w:rFonts w:eastAsia="Calibri" w:cs="Arial"/>
          <w:szCs w:val="22"/>
          <w:lang w:val="en-CA" w:eastAsia="en-US"/>
        </w:rPr>
        <w:t xml:space="preserve"> to the Commission</w:t>
      </w:r>
      <w:r w:rsidRPr="00C855F0">
        <w:rPr>
          <w:rFonts w:eastAsia="Calibri" w:cs="Arial"/>
          <w:szCs w:val="22"/>
          <w:lang w:val="en-CA" w:eastAsia="en-US"/>
        </w:rPr>
        <w:t xml:space="preserve">. </w:t>
      </w:r>
      <w:r w:rsidR="00CF34DF" w:rsidRPr="00C855F0">
        <w:rPr>
          <w:rFonts w:eastAsia="Calibri" w:cs="Arial"/>
          <w:szCs w:val="22"/>
          <w:lang w:val="en-CA" w:eastAsia="en-US"/>
        </w:rPr>
        <w:t xml:space="preserve"> </w:t>
      </w:r>
      <w:r w:rsidRPr="00C855F0">
        <w:rPr>
          <w:rFonts w:eastAsia="Calibri" w:cs="Arial"/>
          <w:szCs w:val="22"/>
          <w:lang w:val="en-CA" w:eastAsia="en-US"/>
        </w:rPr>
        <w:t xml:space="preserve">Here, we note that exempted BDUs with less than twenty thousand subscribers are not required to pay these fees. </w:t>
      </w:r>
      <w:r w:rsidR="00A0507E" w:rsidRPr="00C855F0">
        <w:rPr>
          <w:rFonts w:eastAsia="Calibri" w:cs="Arial"/>
          <w:szCs w:val="22"/>
          <w:lang w:val="en-CA" w:eastAsia="en-US"/>
        </w:rPr>
        <w:t xml:space="preserve"> </w:t>
      </w:r>
      <w:r w:rsidRPr="00C855F0">
        <w:rPr>
          <w:rFonts w:eastAsia="Calibri" w:cs="Arial"/>
          <w:szCs w:val="22"/>
          <w:lang w:val="en-CA" w:eastAsia="en-US"/>
        </w:rPr>
        <w:t>We have already demonstrated that exempt BDUs with two thousand subscribers earn more than our SRDU business.</w:t>
      </w:r>
      <w:r w:rsidR="00CF34DF" w:rsidRPr="00C855F0">
        <w:rPr>
          <w:rFonts w:eastAsia="Calibri" w:cs="Arial"/>
          <w:szCs w:val="22"/>
          <w:lang w:val="en-CA" w:eastAsia="en-US"/>
        </w:rPr>
        <w:t xml:space="preserve"> </w:t>
      </w:r>
      <w:r w:rsidRPr="00C855F0">
        <w:rPr>
          <w:rFonts w:eastAsia="Calibri" w:cs="Arial"/>
          <w:szCs w:val="22"/>
          <w:lang w:val="en-CA" w:eastAsia="en-US"/>
        </w:rPr>
        <w:t xml:space="preserve"> However, in this case, </w:t>
      </w:r>
      <w:r w:rsidR="009864AB" w:rsidRPr="00C855F0">
        <w:rPr>
          <w:rFonts w:eastAsia="Calibri" w:cs="Arial"/>
          <w:szCs w:val="22"/>
          <w:lang w:val="en-CA" w:eastAsia="en-US"/>
        </w:rPr>
        <w:t xml:space="preserve">one </w:t>
      </w:r>
      <w:r w:rsidRPr="00C855F0">
        <w:rPr>
          <w:rFonts w:eastAsia="Calibri" w:cs="Arial"/>
          <w:szCs w:val="22"/>
          <w:lang w:val="en-CA" w:eastAsia="en-US"/>
        </w:rPr>
        <w:t xml:space="preserve">can multiply that inconsistency by a factor of ten. </w:t>
      </w:r>
      <w:r w:rsidR="0042652C" w:rsidRPr="00C855F0">
        <w:rPr>
          <w:rFonts w:eastAsia="Calibri" w:cs="Arial"/>
          <w:szCs w:val="22"/>
          <w:lang w:val="en-CA" w:eastAsia="en-US"/>
        </w:rPr>
        <w:t xml:space="preserve"> </w:t>
      </w:r>
      <w:r w:rsidRPr="00C855F0">
        <w:rPr>
          <w:rFonts w:eastAsia="Calibri" w:cs="Arial"/>
          <w:szCs w:val="22"/>
          <w:lang w:val="en-CA" w:eastAsia="en-US"/>
        </w:rPr>
        <w:t>Exempt BDUs with twenty thousand subscribers earn on average $15.4M</w:t>
      </w:r>
      <w:r w:rsidR="00A0507E" w:rsidRPr="00C855F0">
        <w:rPr>
          <w:rFonts w:eastAsia="Calibri" w:cs="Arial"/>
          <w:szCs w:val="22"/>
          <w:lang w:val="en-CA" w:eastAsia="en-US"/>
        </w:rPr>
        <w:t>.</w:t>
      </w:r>
      <w:r w:rsidRPr="00EC0718">
        <w:rPr>
          <w:rStyle w:val="FootnoteReference"/>
          <w:rFonts w:eastAsia="Calibri" w:cs="Arial"/>
          <w:szCs w:val="22"/>
          <w:lang w:val="en-CA" w:eastAsia="en-US"/>
        </w:rPr>
        <w:footnoteReference w:id="16"/>
      </w:r>
      <w:r w:rsidRPr="00C855F0">
        <w:rPr>
          <w:rFonts w:eastAsia="Calibri" w:cs="Arial"/>
          <w:szCs w:val="22"/>
          <w:lang w:val="en-CA" w:eastAsia="en-US"/>
        </w:rPr>
        <w:t xml:space="preserve"> </w:t>
      </w:r>
      <w:r w:rsidR="00A0507E" w:rsidRPr="00C855F0">
        <w:rPr>
          <w:rFonts w:eastAsia="Calibri" w:cs="Arial"/>
          <w:szCs w:val="22"/>
          <w:lang w:val="en-CA" w:eastAsia="en-US"/>
        </w:rPr>
        <w:t xml:space="preserve"> </w:t>
      </w:r>
      <w:r w:rsidRPr="00C855F0">
        <w:rPr>
          <w:rFonts w:eastAsia="Calibri" w:cs="Arial"/>
          <w:szCs w:val="22"/>
          <w:lang w:val="en-CA" w:eastAsia="en-US"/>
        </w:rPr>
        <w:t xml:space="preserve">This means that our SRDU business, </w:t>
      </w:r>
      <w:r w:rsidRPr="00C855F0">
        <w:rPr>
          <w:rFonts w:eastAsia="Calibri" w:cs="Arial"/>
          <w:szCs w:val="22"/>
          <w:highlight w:val="yellow"/>
          <w:lang w:val="en-CA" w:eastAsia="en-US"/>
        </w:rPr>
        <w:t>#</w:t>
      </w:r>
      <w:r w:rsidR="001F15CE">
        <w:rPr>
          <w:rFonts w:eastAsia="Calibri" w:cs="Arial"/>
          <w:szCs w:val="22"/>
          <w:highlight w:val="yellow"/>
          <w:lang w:val="en-CA" w:eastAsia="en-US"/>
        </w:rPr>
        <w:tab/>
      </w:r>
      <w:r w:rsidR="001F15CE">
        <w:rPr>
          <w:rFonts w:eastAsia="Calibri" w:cs="Arial"/>
          <w:szCs w:val="22"/>
          <w:highlight w:val="yellow"/>
          <w:lang w:val="en-CA" w:eastAsia="en-US"/>
        </w:rPr>
        <w:tab/>
      </w:r>
      <w:r w:rsidR="001F15CE">
        <w:rPr>
          <w:rFonts w:eastAsia="Calibri" w:cs="Arial"/>
          <w:szCs w:val="22"/>
          <w:highlight w:val="yellow"/>
          <w:lang w:val="en-CA" w:eastAsia="en-US"/>
        </w:rPr>
        <w:tab/>
      </w:r>
      <w:r w:rsidR="001F15CE">
        <w:rPr>
          <w:rFonts w:eastAsia="Calibri" w:cs="Arial"/>
          <w:szCs w:val="22"/>
          <w:highlight w:val="yellow"/>
          <w:lang w:val="en-CA" w:eastAsia="en-US"/>
        </w:rPr>
        <w:tab/>
      </w:r>
      <w:r w:rsidR="001F15CE">
        <w:rPr>
          <w:rFonts w:eastAsia="Calibri" w:cs="Arial"/>
          <w:szCs w:val="22"/>
          <w:highlight w:val="yellow"/>
          <w:lang w:val="en-CA" w:eastAsia="en-US"/>
        </w:rPr>
        <w:tab/>
      </w:r>
      <w:r w:rsidR="001F15CE">
        <w:rPr>
          <w:rFonts w:eastAsia="Calibri" w:cs="Arial"/>
          <w:szCs w:val="22"/>
          <w:highlight w:val="yellow"/>
          <w:lang w:val="en-CA" w:eastAsia="en-US"/>
        </w:rPr>
        <w:tab/>
      </w:r>
      <w:r w:rsidRPr="00C855F0">
        <w:rPr>
          <w:rFonts w:eastAsia="Calibri" w:cs="Arial"/>
          <w:szCs w:val="22"/>
          <w:highlight w:val="yellow"/>
          <w:lang w:val="en-CA" w:eastAsia="en-US"/>
        </w:rPr>
        <w:t>#</w:t>
      </w:r>
      <w:r w:rsidRPr="00C855F0">
        <w:rPr>
          <w:rFonts w:eastAsia="Calibri" w:cs="Arial"/>
          <w:szCs w:val="22"/>
          <w:lang w:val="en-CA" w:eastAsia="en-US"/>
        </w:rPr>
        <w:t xml:space="preserve"> of what a large exempt </w:t>
      </w:r>
      <w:r w:rsidR="00C855F0" w:rsidRPr="00C855F0">
        <w:rPr>
          <w:rFonts w:eastAsia="Calibri" w:cs="Arial"/>
          <w:szCs w:val="22"/>
          <w:lang w:val="en-CA" w:eastAsia="en-US"/>
        </w:rPr>
        <w:br/>
      </w:r>
      <w:r w:rsidR="00C855F0" w:rsidRPr="00C855F0">
        <w:rPr>
          <w:rFonts w:eastAsia="Calibri" w:cs="Arial"/>
          <w:szCs w:val="22"/>
          <w:highlight w:val="yellow"/>
          <w:lang w:val="en-CA" w:eastAsia="en-US"/>
        </w:rPr>
        <w:t># Filed in confidence with the CRTC.</w:t>
      </w:r>
      <w:r w:rsidR="00C855F0" w:rsidRPr="00C855F0">
        <w:rPr>
          <w:rFonts w:eastAsia="Calibri" w:cs="Arial"/>
          <w:szCs w:val="22"/>
          <w:lang w:val="en-CA" w:eastAsia="en-US"/>
        </w:rPr>
        <w:br w:type="page"/>
      </w:r>
    </w:p>
    <w:p w14:paraId="324557DE" w14:textId="16CC77E8" w:rsidR="007E286D" w:rsidRPr="00EC0718" w:rsidRDefault="00A676FB" w:rsidP="00C855F0">
      <w:pPr>
        <w:tabs>
          <w:tab w:val="clear" w:pos="720"/>
        </w:tabs>
        <w:autoSpaceDE w:val="0"/>
        <w:autoSpaceDN w:val="0"/>
        <w:spacing w:line="360" w:lineRule="auto"/>
        <w:ind w:right="111"/>
        <w:contextualSpacing/>
        <w:jc w:val="both"/>
        <w:rPr>
          <w:rFonts w:eastAsia="Calibri" w:cs="Arial"/>
          <w:szCs w:val="22"/>
          <w:lang w:val="en-CA" w:eastAsia="en-US"/>
        </w:rPr>
      </w:pPr>
      <w:r w:rsidRPr="00A676FB">
        <w:rPr>
          <w:rFonts w:eastAsia="Calibri" w:cs="Arial"/>
          <w:noProof/>
          <w:szCs w:val="22"/>
          <w:lang w:val="en-CA"/>
        </w:rPr>
        <w:lastRenderedPageBreak/>
        <mc:AlternateContent>
          <mc:Choice Requires="wps">
            <w:drawing>
              <wp:anchor distT="45720" distB="45720" distL="114300" distR="114300" simplePos="0" relativeHeight="251659264" behindDoc="0" locked="0" layoutInCell="1" allowOverlap="1" wp14:anchorId="07468B44" wp14:editId="6C3BA445">
                <wp:simplePos x="0" y="0"/>
                <wp:positionH relativeFrom="column">
                  <wp:posOffset>5943600</wp:posOffset>
                </wp:positionH>
                <wp:positionV relativeFrom="paragraph">
                  <wp:posOffset>-72604</wp:posOffset>
                </wp:positionV>
                <wp:extent cx="339931" cy="801584"/>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31" cy="801584"/>
                        </a:xfrm>
                        <a:prstGeom prst="rect">
                          <a:avLst/>
                        </a:prstGeom>
                        <a:solidFill>
                          <a:srgbClr val="FFFFFF"/>
                        </a:solidFill>
                        <a:ln w="9525">
                          <a:noFill/>
                          <a:miter lim="800000"/>
                          <a:headEnd/>
                          <a:tailEnd/>
                        </a:ln>
                      </wps:spPr>
                      <wps:txbx>
                        <w:txbxContent>
                          <w:p w14:paraId="6E0EE403" w14:textId="17ED8F70" w:rsidR="00A676FB" w:rsidRDefault="00A676FB" w:rsidP="00A676FB">
                            <w:pPr>
                              <w:spacing w:line="360" w:lineRule="auto"/>
                              <w:jc w:val="center"/>
                            </w:pPr>
                          </w:p>
                          <w:p w14:paraId="0FA46C18" w14:textId="6A280193" w:rsidR="00A676FB" w:rsidRDefault="00A676FB" w:rsidP="00A676FB">
                            <w:pPr>
                              <w:spacing w:line="360" w:lineRule="auto"/>
                              <w:jc w:val="center"/>
                            </w:pPr>
                            <w:r w:rsidRPr="00D32B4D">
                              <w:rPr>
                                <w:rFonts w:cs="Arial"/>
                                <w:szCs w:val="22"/>
                              </w:rPr>
                              <w:t>Ø</w:t>
                            </w:r>
                          </w:p>
                          <w:p w14:paraId="1BD14955" w14:textId="77777777" w:rsidR="00A676FB" w:rsidRDefault="00A676FB" w:rsidP="00A676FB">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8B44" id="_x0000_t202" coordsize="21600,21600" o:spt="202" path="m,l,21600r21600,l21600,xe">
                <v:stroke joinstyle="miter"/>
                <v:path gradientshapeok="t" o:connecttype="rect"/>
              </v:shapetype>
              <v:shape id="Text Box 2" o:spid="_x0000_s1026" type="#_x0000_t202" style="position:absolute;left:0;text-align:left;margin-left:468pt;margin-top:-5.7pt;width:26.75pt;height:6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j3IAIAABw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" stroked="f">
                <v:textbox>
                  <w:txbxContent>
                    <w:p w14:paraId="6E0EE403" w14:textId="17ED8F70" w:rsidR="00A676FB" w:rsidRDefault="00A676FB" w:rsidP="00A676FB">
                      <w:pPr>
                        <w:spacing w:line="360" w:lineRule="auto"/>
                        <w:jc w:val="center"/>
                      </w:pPr>
                    </w:p>
                    <w:p w14:paraId="0FA46C18" w14:textId="6A280193" w:rsidR="00A676FB" w:rsidRDefault="00A676FB" w:rsidP="00A676FB">
                      <w:pPr>
                        <w:spacing w:line="360" w:lineRule="auto"/>
                        <w:jc w:val="center"/>
                      </w:pPr>
                      <w:r w:rsidRPr="00D32B4D">
                        <w:rPr>
                          <w:rFonts w:cs="Arial"/>
                          <w:szCs w:val="22"/>
                        </w:rPr>
                        <w:t>Ø</w:t>
                      </w:r>
                    </w:p>
                    <w:p w14:paraId="1BD14955" w14:textId="77777777" w:rsidR="00A676FB" w:rsidRDefault="00A676FB" w:rsidP="00A676FB">
                      <w:pPr>
                        <w:spacing w:line="360" w:lineRule="auto"/>
                        <w:jc w:val="center"/>
                      </w:pPr>
                    </w:p>
                  </w:txbxContent>
                </v:textbox>
              </v:shape>
            </w:pict>
          </mc:Fallback>
        </mc:AlternateContent>
      </w:r>
      <w:r w:rsidR="007E286D" w:rsidRPr="00EC0718">
        <w:rPr>
          <w:rFonts w:eastAsia="Calibri" w:cs="Arial"/>
          <w:szCs w:val="22"/>
          <w:lang w:val="en-CA" w:eastAsia="en-US"/>
        </w:rPr>
        <w:t>BDU earns, must pay licence fees while the exempt BDU does not.</w:t>
      </w:r>
      <w:r w:rsidR="00A0507E" w:rsidRPr="00EC0718">
        <w:rPr>
          <w:rFonts w:eastAsia="Calibri" w:cs="Arial"/>
          <w:szCs w:val="22"/>
          <w:lang w:val="en-CA" w:eastAsia="en-US"/>
        </w:rPr>
        <w:t xml:space="preserve"> </w:t>
      </w:r>
      <w:r w:rsidR="007E286D" w:rsidRPr="00EC0718">
        <w:rPr>
          <w:rFonts w:eastAsia="Calibri" w:cs="Arial"/>
          <w:szCs w:val="22"/>
          <w:lang w:val="en-CA" w:eastAsia="en-US"/>
        </w:rPr>
        <w:t xml:space="preserve"> We suspect that a </w:t>
      </w:r>
      <w:r w:rsidR="007E286D" w:rsidRPr="007F56CA">
        <w:rPr>
          <w:rFonts w:eastAsia="Calibri" w:cs="Arial"/>
          <w:b/>
          <w:szCs w:val="22"/>
          <w:lang w:val="en-CA" w:eastAsia="en-US"/>
        </w:rPr>
        <w:t>single</w:t>
      </w:r>
      <w:r w:rsidR="007E286D" w:rsidRPr="00EC0718">
        <w:rPr>
          <w:rFonts w:eastAsia="Calibri" w:cs="Arial"/>
          <w:szCs w:val="22"/>
          <w:lang w:val="en-CA" w:eastAsia="en-US"/>
        </w:rPr>
        <w:t xml:space="preserve"> large exempt BDU </w:t>
      </w:r>
      <w:r w:rsidRPr="003B4869">
        <w:rPr>
          <w:rFonts w:eastAsia="Calibri" w:cs="Arial"/>
          <w:szCs w:val="22"/>
          <w:highlight w:val="magenta"/>
          <w:lang w:val="en-CA" w:eastAsia="en-US"/>
        </w:rPr>
        <w:t>earns more revenue than all SRDUs combined</w:t>
      </w:r>
      <w:r w:rsidRPr="00EC0718">
        <w:rPr>
          <w:rFonts w:eastAsia="Calibri" w:cs="Arial"/>
          <w:szCs w:val="22"/>
          <w:lang w:val="en-CA" w:eastAsia="en-US"/>
        </w:rPr>
        <w:t xml:space="preserve">.  </w:t>
      </w:r>
      <w:r w:rsidR="007E286D" w:rsidRPr="00EC0718">
        <w:rPr>
          <w:rFonts w:eastAsia="Calibri" w:cs="Arial"/>
          <w:szCs w:val="22"/>
          <w:lang w:val="en-CA" w:eastAsia="en-US"/>
        </w:rPr>
        <w:t>Clearly, forcing SRDUs to contribute to licence fees is not reasonable or equitable.</w:t>
      </w:r>
    </w:p>
    <w:p w14:paraId="2948AB1A" w14:textId="77777777" w:rsidR="007E286D" w:rsidRPr="00EC0718" w:rsidRDefault="007E286D" w:rsidP="007E286D">
      <w:pPr>
        <w:spacing w:line="360" w:lineRule="auto"/>
        <w:jc w:val="both"/>
        <w:rPr>
          <w:rFonts w:eastAsia="Calibri" w:cs="Arial"/>
          <w:szCs w:val="22"/>
          <w:lang w:val="en-CA" w:eastAsia="en-US"/>
        </w:rPr>
      </w:pPr>
    </w:p>
    <w:p w14:paraId="63D8DAE9" w14:textId="0761881E" w:rsidR="007E286D" w:rsidRPr="00EC0718" w:rsidRDefault="007E286D" w:rsidP="007E286D">
      <w:pPr>
        <w:numPr>
          <w:ilvl w:val="0"/>
          <w:numId w:val="3"/>
        </w:numPr>
        <w:tabs>
          <w:tab w:val="left" w:pos="720"/>
        </w:tabs>
        <w:autoSpaceDE w:val="0"/>
        <w:autoSpaceDN w:val="0"/>
        <w:spacing w:line="360" w:lineRule="auto"/>
        <w:ind w:right="111"/>
        <w:contextualSpacing/>
        <w:jc w:val="both"/>
        <w:rPr>
          <w:rFonts w:eastAsia="Calibri" w:cs="Arial"/>
          <w:szCs w:val="22"/>
          <w:lang w:val="en-CA" w:eastAsia="en-US"/>
        </w:rPr>
      </w:pPr>
      <w:r w:rsidRPr="00EC0718">
        <w:rPr>
          <w:rFonts w:eastAsia="Calibri" w:cs="Arial"/>
          <w:szCs w:val="22"/>
          <w:lang w:val="en-CA" w:eastAsia="en-US"/>
        </w:rPr>
        <w:t xml:space="preserve">Finally, licensing requires small SRDU businesses to provide detailed reports to the Commission each year as part of the Broadcasting Annual Return. </w:t>
      </w:r>
      <w:r w:rsidR="00910A07">
        <w:rPr>
          <w:rFonts w:eastAsia="Calibri" w:cs="Arial"/>
          <w:szCs w:val="22"/>
          <w:lang w:val="en-CA" w:eastAsia="en-US"/>
        </w:rPr>
        <w:t xml:space="preserve"> </w:t>
      </w:r>
      <w:r w:rsidR="00DA1C1E">
        <w:rPr>
          <w:rFonts w:eastAsia="Calibri" w:cs="Arial"/>
          <w:szCs w:val="22"/>
          <w:lang w:val="en-CA" w:eastAsia="en-US"/>
        </w:rPr>
        <w:t xml:space="preserve">SRDUs must </w:t>
      </w:r>
      <w:r w:rsidR="0098277A">
        <w:rPr>
          <w:rFonts w:eastAsia="Calibri" w:cs="Arial"/>
          <w:szCs w:val="22"/>
          <w:lang w:val="en-CA" w:eastAsia="en-US"/>
        </w:rPr>
        <w:t xml:space="preserve">prepare these </w:t>
      </w:r>
      <w:r w:rsidR="00DA1C1E">
        <w:rPr>
          <w:rFonts w:eastAsia="Calibri" w:cs="Arial"/>
          <w:szCs w:val="22"/>
          <w:lang w:val="en-CA" w:eastAsia="en-US"/>
        </w:rPr>
        <w:t>burdensome re</w:t>
      </w:r>
      <w:r w:rsidR="0098277A">
        <w:rPr>
          <w:rFonts w:eastAsia="Calibri" w:cs="Arial"/>
          <w:szCs w:val="22"/>
          <w:lang w:val="en-CA" w:eastAsia="en-US"/>
        </w:rPr>
        <w:t>ports</w:t>
      </w:r>
      <w:r w:rsidR="00DA1C1E">
        <w:rPr>
          <w:rFonts w:eastAsia="Calibri" w:cs="Arial"/>
          <w:szCs w:val="22"/>
          <w:lang w:val="en-CA" w:eastAsia="en-US"/>
        </w:rPr>
        <w:t xml:space="preserve"> while TRDUs have no such requirement</w:t>
      </w:r>
      <w:r w:rsidRPr="00EC0718">
        <w:rPr>
          <w:rFonts w:eastAsia="Calibri" w:cs="Arial"/>
          <w:szCs w:val="22"/>
          <w:lang w:val="en-CA" w:eastAsia="en-US"/>
        </w:rPr>
        <w:t>.</w:t>
      </w:r>
    </w:p>
    <w:p w14:paraId="11530E04" w14:textId="77777777" w:rsidR="007E286D" w:rsidRPr="00EC0718" w:rsidRDefault="007E286D" w:rsidP="007E286D">
      <w:pPr>
        <w:autoSpaceDE w:val="0"/>
        <w:autoSpaceDN w:val="0"/>
        <w:spacing w:line="360" w:lineRule="auto"/>
        <w:ind w:right="111"/>
        <w:contextualSpacing/>
        <w:jc w:val="both"/>
        <w:rPr>
          <w:rFonts w:eastAsia="Calibri" w:cs="Arial"/>
          <w:szCs w:val="22"/>
          <w:lang w:val="en-CA" w:eastAsia="en-US"/>
        </w:rPr>
      </w:pPr>
    </w:p>
    <w:p w14:paraId="3A4D5C1C" w14:textId="77777777" w:rsidR="007E286D" w:rsidRPr="00EC0718" w:rsidRDefault="00E35DB5" w:rsidP="00E35DB5">
      <w:pPr>
        <w:pStyle w:val="Heading2"/>
        <w:rPr>
          <w:rFonts w:eastAsia="Calibri"/>
          <w:lang w:val="en-CA" w:eastAsia="en-US"/>
        </w:rPr>
      </w:pPr>
      <w:bookmarkStart w:id="7" w:name="_Toc161652252"/>
      <w:r w:rsidRPr="00EC0718">
        <w:rPr>
          <w:rFonts w:eastAsia="Calibri"/>
          <w:lang w:val="en-CA" w:eastAsia="en-US"/>
        </w:rPr>
        <w:t>The Rationale for SRDU Exemption</w:t>
      </w:r>
      <w:bookmarkEnd w:id="7"/>
    </w:p>
    <w:p w14:paraId="44D381E7" w14:textId="77777777" w:rsidR="007E286D" w:rsidRPr="00EC0718" w:rsidRDefault="007E286D" w:rsidP="007E286D">
      <w:pPr>
        <w:autoSpaceDE w:val="0"/>
        <w:autoSpaceDN w:val="0"/>
        <w:spacing w:line="360" w:lineRule="auto"/>
        <w:ind w:right="111"/>
        <w:contextualSpacing/>
        <w:jc w:val="both"/>
        <w:rPr>
          <w:rFonts w:eastAsia="Calibri" w:cs="Arial"/>
          <w:szCs w:val="22"/>
          <w:lang w:val="en-CA" w:eastAsia="en-US"/>
        </w:rPr>
      </w:pPr>
    </w:p>
    <w:p w14:paraId="012B4BB2" w14:textId="693F3EFC" w:rsidR="00E35DB5" w:rsidRPr="00EC0718" w:rsidRDefault="00E35DB5" w:rsidP="00E35DB5">
      <w:pPr>
        <w:numPr>
          <w:ilvl w:val="0"/>
          <w:numId w:val="3"/>
        </w:numPr>
        <w:tabs>
          <w:tab w:val="left" w:pos="720"/>
        </w:tabs>
        <w:autoSpaceDE w:val="0"/>
        <w:autoSpaceDN w:val="0"/>
        <w:spacing w:line="360" w:lineRule="auto"/>
        <w:ind w:right="111"/>
        <w:contextualSpacing/>
        <w:jc w:val="both"/>
        <w:rPr>
          <w:rFonts w:eastAsia="Calibri" w:cs="Arial"/>
          <w:szCs w:val="22"/>
          <w:lang w:val="en-CA" w:eastAsia="en-US"/>
        </w:rPr>
      </w:pPr>
      <w:r w:rsidRPr="00EC0718">
        <w:rPr>
          <w:rFonts w:eastAsia="Calibri" w:cs="Arial"/>
          <w:szCs w:val="22"/>
          <w:lang w:val="en-CA" w:eastAsia="en-US"/>
        </w:rPr>
        <w:t>The Commission has periodically reviewed the need to licence SRDU services.</w:t>
      </w:r>
      <w:r w:rsidR="00910A07">
        <w:rPr>
          <w:rFonts w:eastAsia="Calibri" w:cs="Arial"/>
          <w:szCs w:val="22"/>
          <w:lang w:val="en-CA" w:eastAsia="en-US"/>
        </w:rPr>
        <w:t xml:space="preserve"> </w:t>
      </w:r>
      <w:r w:rsidRPr="00EC0718">
        <w:rPr>
          <w:rFonts w:eastAsia="Calibri" w:cs="Arial"/>
          <w:szCs w:val="22"/>
          <w:lang w:val="en-CA" w:eastAsia="en-US"/>
        </w:rPr>
        <w:t xml:space="preserve"> In fact, it considered exempting SRDUs in 2008</w:t>
      </w:r>
      <w:r w:rsidRPr="00EC0718">
        <w:rPr>
          <w:rStyle w:val="FootnoteReference"/>
          <w:rFonts w:eastAsia="Calibri" w:cs="Arial"/>
          <w:szCs w:val="22"/>
          <w:lang w:val="en-CA" w:eastAsia="en-US"/>
        </w:rPr>
        <w:footnoteReference w:id="17"/>
      </w:r>
      <w:r w:rsidRPr="00EC0718">
        <w:rPr>
          <w:rFonts w:eastAsia="Calibri" w:cs="Arial"/>
          <w:szCs w:val="22"/>
          <w:lang w:val="en-CA" w:eastAsia="en-US"/>
        </w:rPr>
        <w:t xml:space="preserve"> and 2012.</w:t>
      </w:r>
      <w:r w:rsidRPr="00EC0718">
        <w:rPr>
          <w:rStyle w:val="FootnoteReference"/>
          <w:rFonts w:eastAsia="Calibri" w:cs="Arial"/>
          <w:szCs w:val="22"/>
          <w:lang w:val="en-CA" w:eastAsia="en-US"/>
        </w:rPr>
        <w:footnoteReference w:id="18"/>
      </w:r>
      <w:r w:rsidRPr="00EC0718">
        <w:rPr>
          <w:rFonts w:eastAsia="Calibri" w:cs="Arial"/>
          <w:szCs w:val="22"/>
          <w:lang w:val="en-CA" w:eastAsia="en-US"/>
        </w:rPr>
        <w:t xml:space="preserve">  However, in both cases, the Commission declined to exempt SRDUs </w:t>
      </w:r>
      <w:r w:rsidR="00DA1C1E">
        <w:rPr>
          <w:rFonts w:eastAsia="Calibri" w:cs="Arial"/>
          <w:szCs w:val="22"/>
          <w:lang w:val="en-CA" w:eastAsia="en-US"/>
        </w:rPr>
        <w:t>reasoning that</w:t>
      </w:r>
      <w:r w:rsidRPr="00EC0718">
        <w:rPr>
          <w:rFonts w:eastAsia="Calibri" w:cs="Arial"/>
          <w:szCs w:val="22"/>
          <w:lang w:val="en-CA" w:eastAsia="en-US"/>
        </w:rPr>
        <w:t>:</w:t>
      </w:r>
      <w:r w:rsidR="00910A07">
        <w:rPr>
          <w:rFonts w:eastAsia="Calibri" w:cs="Arial"/>
          <w:szCs w:val="22"/>
          <w:lang w:val="en-CA" w:eastAsia="en-US"/>
        </w:rPr>
        <w:t xml:space="preserve"> </w:t>
      </w:r>
      <w:r w:rsidRPr="00EC0718">
        <w:rPr>
          <w:rFonts w:eastAsia="Calibri" w:cs="Arial"/>
          <w:szCs w:val="22"/>
          <w:lang w:val="en-CA" w:eastAsia="en-US"/>
        </w:rPr>
        <w:t xml:space="preserve"> 1) </w:t>
      </w:r>
      <w:r w:rsidR="00910A07">
        <w:rPr>
          <w:rFonts w:eastAsia="Calibri" w:cs="Arial"/>
          <w:szCs w:val="22"/>
          <w:lang w:val="en-CA" w:eastAsia="en-US"/>
        </w:rPr>
        <w:t xml:space="preserve">the </w:t>
      </w:r>
      <w:r w:rsidRPr="00EC0718">
        <w:rPr>
          <w:rFonts w:eastAsia="Calibri" w:cs="Arial"/>
          <w:szCs w:val="22"/>
          <w:lang w:val="en-CA" w:eastAsia="en-US"/>
        </w:rPr>
        <w:t xml:space="preserve">annual contribution </w:t>
      </w:r>
      <w:r w:rsidR="00910A07">
        <w:rPr>
          <w:rFonts w:eastAsia="Calibri" w:cs="Arial"/>
          <w:szCs w:val="22"/>
          <w:lang w:val="en-CA" w:eastAsia="en-US"/>
        </w:rPr>
        <w:t xml:space="preserve">of SRDUs </w:t>
      </w:r>
      <w:r w:rsidRPr="00EC0718">
        <w:rPr>
          <w:rFonts w:eastAsia="Calibri" w:cs="Arial"/>
          <w:szCs w:val="22"/>
          <w:lang w:val="en-CA" w:eastAsia="en-US"/>
        </w:rPr>
        <w:t xml:space="preserve">to Canadian programming </w:t>
      </w:r>
      <w:r w:rsidRPr="00DA1C1E">
        <w:rPr>
          <w:rFonts w:eastAsia="Calibri" w:cs="Arial"/>
          <w:b/>
          <w:szCs w:val="22"/>
          <w:lang w:val="en-CA" w:eastAsia="en-US"/>
        </w:rPr>
        <w:t>was</w:t>
      </w:r>
      <w:r w:rsidRPr="00EC0718">
        <w:rPr>
          <w:rFonts w:eastAsia="Calibri" w:cs="Arial"/>
          <w:b/>
          <w:szCs w:val="22"/>
          <w:lang w:val="en-CA" w:eastAsia="en-US"/>
        </w:rPr>
        <w:t xml:space="preserve"> </w:t>
      </w:r>
      <w:r w:rsidRPr="00EC0718">
        <w:rPr>
          <w:rFonts w:eastAsia="Calibri" w:cs="Arial"/>
          <w:szCs w:val="22"/>
          <w:lang w:val="en-CA" w:eastAsia="en-US"/>
        </w:rPr>
        <w:t xml:space="preserve">material to the objectives of the </w:t>
      </w:r>
      <w:r w:rsidRPr="00EC0718">
        <w:rPr>
          <w:rFonts w:eastAsia="Calibri" w:cs="Arial"/>
          <w:i/>
          <w:szCs w:val="22"/>
          <w:lang w:val="en-CA" w:eastAsia="en-US"/>
        </w:rPr>
        <w:t>Act</w:t>
      </w:r>
      <w:r w:rsidRPr="00EC0718">
        <w:rPr>
          <w:rFonts w:eastAsia="Calibri" w:cs="Arial"/>
          <w:szCs w:val="22"/>
          <w:lang w:val="en-CA" w:eastAsia="en-US"/>
        </w:rPr>
        <w:t>, and 2) there was insufficient competition from TRDUs in the areas served by SRDUs.</w:t>
      </w:r>
      <w:r w:rsidRPr="00EC0718">
        <w:rPr>
          <w:rStyle w:val="FootnoteReference"/>
          <w:rFonts w:eastAsia="Calibri" w:cs="Arial"/>
          <w:szCs w:val="22"/>
          <w:lang w:val="en-CA" w:eastAsia="en-US"/>
        </w:rPr>
        <w:footnoteReference w:id="19"/>
      </w:r>
    </w:p>
    <w:p w14:paraId="750397CB" w14:textId="77777777" w:rsidR="00E35DB5" w:rsidRPr="00EC0718" w:rsidRDefault="00E35DB5" w:rsidP="00E35DB5">
      <w:pPr>
        <w:tabs>
          <w:tab w:val="clear" w:pos="720"/>
        </w:tabs>
        <w:autoSpaceDE w:val="0"/>
        <w:autoSpaceDN w:val="0"/>
        <w:spacing w:line="360" w:lineRule="auto"/>
        <w:ind w:right="111"/>
        <w:contextualSpacing/>
        <w:jc w:val="both"/>
        <w:rPr>
          <w:rFonts w:eastAsia="Calibri" w:cs="Arial"/>
          <w:szCs w:val="22"/>
          <w:lang w:val="en-CA" w:eastAsia="en-US"/>
        </w:rPr>
      </w:pPr>
    </w:p>
    <w:p w14:paraId="25E3466D" w14:textId="4F140031" w:rsidR="00E35DB5" w:rsidRPr="00EC0718" w:rsidRDefault="00E35DB5" w:rsidP="00E35DB5">
      <w:pPr>
        <w:widowControl/>
        <w:numPr>
          <w:ilvl w:val="0"/>
          <w:numId w:val="3"/>
        </w:numPr>
        <w:spacing w:line="360" w:lineRule="auto"/>
        <w:jc w:val="both"/>
        <w:rPr>
          <w:rFonts w:cs="Arial"/>
          <w:szCs w:val="22"/>
        </w:rPr>
      </w:pPr>
      <w:r w:rsidRPr="00EC0718">
        <w:rPr>
          <w:rFonts w:cs="Arial"/>
          <w:szCs w:val="22"/>
        </w:rPr>
        <w:t>As discussed above, it is clear that our SRDU no longer makes a material contribution to Canadian programming.  We suspect that this is also case for Shaw Broadcast Services</w:t>
      </w:r>
      <w:r w:rsidR="00910A07">
        <w:rPr>
          <w:rFonts w:cs="Arial"/>
          <w:szCs w:val="22"/>
        </w:rPr>
        <w:t>,</w:t>
      </w:r>
      <w:r w:rsidRPr="00EC0718">
        <w:rPr>
          <w:rFonts w:cs="Arial"/>
          <w:szCs w:val="22"/>
        </w:rPr>
        <w:t xml:space="preserve"> the other licensed Canadian SRDU service.  The Canadian SRDU market has been in steady decline since the Commission last considered the possibility of exemption.  Given the significant decline in the market, the Commission</w:t>
      </w:r>
      <w:r w:rsidR="0068192E">
        <w:rPr>
          <w:rFonts w:cs="Arial"/>
          <w:szCs w:val="22"/>
        </w:rPr>
        <w:t>'</w:t>
      </w:r>
      <w:r w:rsidRPr="00EC0718">
        <w:rPr>
          <w:rFonts w:cs="Arial"/>
          <w:szCs w:val="22"/>
        </w:rPr>
        <w:t>s previous determination that SRDUs make meaningful contributions to Canadian programming is no longer applicable.  SRDUs are niche wholesale businesses that no longer make material contributions to Canadian programming or to the broadcasting system.</w:t>
      </w:r>
    </w:p>
    <w:p w14:paraId="5CE71BD3" w14:textId="77777777" w:rsidR="00A31334" w:rsidRDefault="00A31334" w:rsidP="00A31334">
      <w:pPr>
        <w:pStyle w:val="ListParagraph"/>
        <w:spacing w:line="360" w:lineRule="auto"/>
        <w:ind w:left="0"/>
        <w:jc w:val="both"/>
        <w:rPr>
          <w:rFonts w:eastAsia="Calibri" w:cs="Arial"/>
          <w:szCs w:val="22"/>
          <w:highlight w:val="yellow"/>
          <w:lang w:val="en-CA" w:eastAsia="en-US"/>
        </w:rPr>
      </w:pPr>
    </w:p>
    <w:p w14:paraId="6D2E93E9" w14:textId="3C1B49FD" w:rsidR="005D1EE5" w:rsidRPr="005D1EE5" w:rsidRDefault="00E35DB5" w:rsidP="005D1EE5">
      <w:pPr>
        <w:widowControl/>
        <w:numPr>
          <w:ilvl w:val="0"/>
          <w:numId w:val="3"/>
        </w:numPr>
        <w:tabs>
          <w:tab w:val="clear" w:pos="720"/>
        </w:tabs>
        <w:spacing w:line="360" w:lineRule="auto"/>
        <w:jc w:val="both"/>
        <w:rPr>
          <w:rFonts w:cs="Arial"/>
          <w:szCs w:val="22"/>
        </w:rPr>
      </w:pPr>
      <w:r w:rsidRPr="00EC0718">
        <w:rPr>
          <w:rFonts w:cs="Arial"/>
          <w:szCs w:val="22"/>
        </w:rPr>
        <w:t xml:space="preserve">The second reason the Commission </w:t>
      </w:r>
      <w:r w:rsidR="000B147F">
        <w:rPr>
          <w:rFonts w:cs="Arial"/>
          <w:szCs w:val="22"/>
        </w:rPr>
        <w:t>did</w:t>
      </w:r>
      <w:r w:rsidR="000B147F" w:rsidRPr="00EC0718">
        <w:rPr>
          <w:rFonts w:cs="Arial"/>
          <w:szCs w:val="22"/>
        </w:rPr>
        <w:t xml:space="preserve"> </w:t>
      </w:r>
      <w:r w:rsidR="0098277A">
        <w:rPr>
          <w:rFonts w:cs="Arial"/>
          <w:szCs w:val="22"/>
        </w:rPr>
        <w:t xml:space="preserve">not previously exempt </w:t>
      </w:r>
      <w:r w:rsidRPr="00EC0718">
        <w:rPr>
          <w:rFonts w:cs="Arial"/>
          <w:szCs w:val="22"/>
        </w:rPr>
        <w:t>SRDU</w:t>
      </w:r>
      <w:r w:rsidR="0098277A">
        <w:rPr>
          <w:rFonts w:cs="Arial"/>
          <w:szCs w:val="22"/>
        </w:rPr>
        <w:t xml:space="preserve">s </w:t>
      </w:r>
      <w:r w:rsidR="000B147F">
        <w:rPr>
          <w:rFonts w:cs="Arial"/>
          <w:szCs w:val="22"/>
        </w:rPr>
        <w:t>from licensing was</w:t>
      </w:r>
      <w:r w:rsidR="0098277A" w:rsidRPr="00EC0718">
        <w:rPr>
          <w:rFonts w:cs="Arial"/>
          <w:szCs w:val="22"/>
        </w:rPr>
        <w:t xml:space="preserve"> </w:t>
      </w:r>
      <w:r w:rsidRPr="00EC0718">
        <w:rPr>
          <w:rFonts w:cs="Arial"/>
          <w:szCs w:val="22"/>
        </w:rPr>
        <w:t xml:space="preserve">the claim that there </w:t>
      </w:r>
      <w:r w:rsidR="000B147F">
        <w:rPr>
          <w:rFonts w:cs="Arial"/>
          <w:szCs w:val="22"/>
        </w:rPr>
        <w:t xml:space="preserve">was </w:t>
      </w:r>
      <w:r w:rsidRPr="00EC0718">
        <w:rPr>
          <w:rFonts w:cs="Arial"/>
          <w:szCs w:val="22"/>
        </w:rPr>
        <w:t>insufficient competition in the market for the distribution of program signals.  In 2012, the Commission acknowledged that there had been increased competition between SRDUs and TRDUs in urban areas</w:t>
      </w:r>
      <w:r w:rsidR="000B147F">
        <w:rPr>
          <w:rFonts w:cs="Arial"/>
          <w:szCs w:val="22"/>
        </w:rPr>
        <w:t>,</w:t>
      </w:r>
      <w:r w:rsidR="0098277A">
        <w:rPr>
          <w:rFonts w:cs="Arial"/>
          <w:szCs w:val="22"/>
        </w:rPr>
        <w:t xml:space="preserve"> but claimed that this competition was still insufficient</w:t>
      </w:r>
      <w:r w:rsidR="000913DF">
        <w:rPr>
          <w:rFonts w:cs="Arial"/>
          <w:szCs w:val="22"/>
        </w:rPr>
        <w:t xml:space="preserve"> to permit exemption</w:t>
      </w:r>
      <w:r w:rsidRPr="00EC0718">
        <w:rPr>
          <w:rFonts w:cs="Arial"/>
          <w:szCs w:val="22"/>
        </w:rPr>
        <w:t>.</w:t>
      </w:r>
      <w:r w:rsidRPr="00EC0718">
        <w:rPr>
          <w:rStyle w:val="FootnoteReference"/>
          <w:rFonts w:cs="Arial"/>
          <w:szCs w:val="22"/>
        </w:rPr>
        <w:footnoteReference w:id="20"/>
      </w:r>
      <w:r w:rsidRPr="00EC0718">
        <w:rPr>
          <w:rFonts w:cs="Arial"/>
          <w:szCs w:val="22"/>
        </w:rPr>
        <w:t xml:space="preserve">  </w:t>
      </w:r>
      <w:r w:rsidR="000B147F">
        <w:rPr>
          <w:rFonts w:cs="Arial"/>
          <w:szCs w:val="22"/>
        </w:rPr>
        <w:t xml:space="preserve">However, since the Commission’s last review, </w:t>
      </w:r>
      <w:r w:rsidRPr="00EC0718">
        <w:rPr>
          <w:rFonts w:cs="Arial"/>
          <w:szCs w:val="22"/>
        </w:rPr>
        <w:t>Canadian telecom companies</w:t>
      </w:r>
      <w:r w:rsidR="00437122" w:rsidRPr="00B267E2">
        <w:rPr>
          <w:rFonts w:cs="Arial"/>
          <w:szCs w:val="22"/>
        </w:rPr>
        <w:t xml:space="preserve">, including Bell Canada, have invested billions of dollars deploying advanced fibre </w:t>
      </w:r>
      <w:r w:rsidR="005D1EE5">
        <w:rPr>
          <w:rFonts w:cs="Arial"/>
          <w:szCs w:val="22"/>
        </w:rPr>
        <w:br/>
      </w:r>
      <w:r w:rsidR="005D1EE5" w:rsidRPr="005D1EE5">
        <w:rPr>
          <w:rFonts w:eastAsia="Calibri" w:cs="Arial"/>
          <w:szCs w:val="22"/>
          <w:highlight w:val="yellow"/>
          <w:lang w:val="en-CA" w:eastAsia="en-US"/>
        </w:rPr>
        <w:t># Filed in confidence with the CRTC.</w:t>
      </w:r>
      <w:r w:rsidR="005D1EE5" w:rsidRPr="005D1EE5">
        <w:rPr>
          <w:rFonts w:eastAsia="Calibri" w:cs="Arial"/>
          <w:szCs w:val="22"/>
          <w:lang w:val="en-CA" w:eastAsia="en-US"/>
        </w:rPr>
        <w:br w:type="page"/>
      </w:r>
    </w:p>
    <w:p w14:paraId="1E754385" w14:textId="75F4351C" w:rsidR="00437122" w:rsidRDefault="00437122" w:rsidP="005D1EE5">
      <w:pPr>
        <w:widowControl/>
        <w:tabs>
          <w:tab w:val="clear" w:pos="720"/>
        </w:tabs>
        <w:spacing w:line="360" w:lineRule="auto"/>
        <w:jc w:val="both"/>
        <w:rPr>
          <w:rFonts w:cs="Arial"/>
          <w:szCs w:val="22"/>
        </w:rPr>
      </w:pPr>
      <w:r w:rsidRPr="00B267E2">
        <w:rPr>
          <w:rFonts w:cs="Arial"/>
          <w:szCs w:val="22"/>
        </w:rPr>
        <w:lastRenderedPageBreak/>
        <w:t xml:space="preserve">networks across the country. </w:t>
      </w:r>
      <w:r w:rsidR="005D1EE5">
        <w:rPr>
          <w:rFonts w:cs="Arial"/>
          <w:szCs w:val="22"/>
        </w:rPr>
        <w:t xml:space="preserve"> </w:t>
      </w:r>
      <w:r w:rsidR="000B147F">
        <w:rPr>
          <w:rFonts w:cs="Arial"/>
          <w:szCs w:val="22"/>
        </w:rPr>
        <w:t xml:space="preserve">These networks now provide significant additional TRDU competition to SRDUs. </w:t>
      </w:r>
      <w:r w:rsidR="005D1EE5">
        <w:rPr>
          <w:rFonts w:cs="Arial"/>
          <w:szCs w:val="22"/>
        </w:rPr>
        <w:t xml:space="preserve"> </w:t>
      </w:r>
      <w:r w:rsidRPr="00B267E2">
        <w:rPr>
          <w:rFonts w:cs="Arial"/>
          <w:szCs w:val="22"/>
        </w:rPr>
        <w:t>Moreover, these networks are now extensively available outside of urban areas.</w:t>
      </w:r>
    </w:p>
    <w:p w14:paraId="4099F817" w14:textId="77777777" w:rsidR="00E35DB5" w:rsidRPr="00EC0718" w:rsidRDefault="00E35DB5" w:rsidP="00E35DB5">
      <w:pPr>
        <w:tabs>
          <w:tab w:val="clear" w:pos="720"/>
        </w:tabs>
        <w:autoSpaceDE w:val="0"/>
        <w:autoSpaceDN w:val="0"/>
        <w:spacing w:line="360" w:lineRule="auto"/>
        <w:ind w:right="111"/>
        <w:contextualSpacing/>
        <w:jc w:val="both"/>
        <w:rPr>
          <w:rFonts w:cs="Arial"/>
          <w:szCs w:val="22"/>
        </w:rPr>
      </w:pPr>
    </w:p>
    <w:p w14:paraId="6DCF5BBA" w14:textId="37FA1606" w:rsidR="00E35DB5" w:rsidRPr="00EC0718" w:rsidRDefault="00C37E5F" w:rsidP="00E35DB5">
      <w:pPr>
        <w:widowControl/>
        <w:numPr>
          <w:ilvl w:val="0"/>
          <w:numId w:val="3"/>
        </w:numPr>
        <w:tabs>
          <w:tab w:val="clear" w:pos="720"/>
        </w:tabs>
        <w:spacing w:line="360" w:lineRule="auto"/>
        <w:jc w:val="both"/>
        <w:rPr>
          <w:rFonts w:cs="Arial"/>
          <w:szCs w:val="22"/>
        </w:rPr>
      </w:pPr>
      <w:r>
        <w:rPr>
          <w:rFonts w:cs="Arial"/>
          <w:szCs w:val="22"/>
        </w:rPr>
        <w:t xml:space="preserve">Despite the significant </w:t>
      </w:r>
      <w:r w:rsidR="001C15BE">
        <w:rPr>
          <w:rFonts w:cs="Arial"/>
          <w:szCs w:val="22"/>
        </w:rPr>
        <w:t xml:space="preserve">expansion of terrestrial networks </w:t>
      </w:r>
      <w:r>
        <w:rPr>
          <w:rFonts w:cs="Arial"/>
          <w:szCs w:val="22"/>
        </w:rPr>
        <w:t>since 2012</w:t>
      </w:r>
      <w:r w:rsidR="00431F68">
        <w:rPr>
          <w:rFonts w:cs="Arial"/>
          <w:szCs w:val="22"/>
        </w:rPr>
        <w:t>, there</w:t>
      </w:r>
      <w:r w:rsidR="00E35DB5" w:rsidRPr="00EC0718">
        <w:rPr>
          <w:rFonts w:cs="Arial"/>
          <w:szCs w:val="22"/>
        </w:rPr>
        <w:t xml:space="preserve"> will always be </w:t>
      </w:r>
      <w:r w:rsidR="001C15BE">
        <w:rPr>
          <w:rFonts w:cs="Arial"/>
          <w:szCs w:val="22"/>
        </w:rPr>
        <w:t xml:space="preserve">some </w:t>
      </w:r>
      <w:r w:rsidR="00E35DB5" w:rsidRPr="00EC0718">
        <w:rPr>
          <w:rFonts w:cs="Arial"/>
          <w:szCs w:val="22"/>
        </w:rPr>
        <w:t xml:space="preserve">isolated communities not served by TRDUs.  However, this fact is </w:t>
      </w:r>
      <w:r>
        <w:rPr>
          <w:rFonts w:cs="Arial"/>
          <w:szCs w:val="22"/>
        </w:rPr>
        <w:t xml:space="preserve">not </w:t>
      </w:r>
      <w:r w:rsidR="001C15BE">
        <w:rPr>
          <w:rFonts w:cs="Arial"/>
          <w:szCs w:val="22"/>
        </w:rPr>
        <w:t xml:space="preserve">a sufficient rationale </w:t>
      </w:r>
      <w:r w:rsidR="00D3171F">
        <w:rPr>
          <w:rFonts w:cs="Arial"/>
          <w:szCs w:val="22"/>
        </w:rPr>
        <w:t xml:space="preserve">for </w:t>
      </w:r>
      <w:r w:rsidR="001C15BE">
        <w:rPr>
          <w:rFonts w:cs="Arial"/>
          <w:szCs w:val="22"/>
        </w:rPr>
        <w:t>continu</w:t>
      </w:r>
      <w:r w:rsidR="00D3171F">
        <w:rPr>
          <w:rFonts w:cs="Arial"/>
          <w:szCs w:val="22"/>
        </w:rPr>
        <w:t>ing to</w:t>
      </w:r>
      <w:r w:rsidR="001C15BE">
        <w:rPr>
          <w:rFonts w:cs="Arial"/>
          <w:szCs w:val="22"/>
        </w:rPr>
        <w:t xml:space="preserve"> </w:t>
      </w:r>
      <w:r w:rsidR="00D3171F">
        <w:rPr>
          <w:rFonts w:cs="Arial"/>
          <w:szCs w:val="22"/>
        </w:rPr>
        <w:t>license</w:t>
      </w:r>
      <w:r w:rsidR="001C15BE">
        <w:rPr>
          <w:rFonts w:cs="Arial"/>
          <w:szCs w:val="22"/>
        </w:rPr>
        <w:t xml:space="preserve"> SRDUs.</w:t>
      </w:r>
    </w:p>
    <w:p w14:paraId="46FED273" w14:textId="77777777" w:rsidR="00E35DB5" w:rsidRPr="00EC0718" w:rsidRDefault="00E35DB5" w:rsidP="00E35DB5">
      <w:pPr>
        <w:tabs>
          <w:tab w:val="clear" w:pos="720"/>
        </w:tabs>
        <w:autoSpaceDE w:val="0"/>
        <w:autoSpaceDN w:val="0"/>
        <w:spacing w:line="360" w:lineRule="auto"/>
        <w:ind w:right="111"/>
        <w:contextualSpacing/>
        <w:jc w:val="both"/>
        <w:rPr>
          <w:rFonts w:cs="Arial"/>
          <w:szCs w:val="22"/>
        </w:rPr>
      </w:pPr>
    </w:p>
    <w:p w14:paraId="087C92B7" w14:textId="53115B83" w:rsidR="00E35DB5" w:rsidRPr="00EC0718" w:rsidRDefault="001C15BE" w:rsidP="00E35DB5">
      <w:pPr>
        <w:widowControl/>
        <w:numPr>
          <w:ilvl w:val="0"/>
          <w:numId w:val="3"/>
        </w:numPr>
        <w:spacing w:line="360" w:lineRule="auto"/>
        <w:jc w:val="both"/>
        <w:rPr>
          <w:rFonts w:cs="Arial"/>
          <w:szCs w:val="22"/>
        </w:rPr>
      </w:pPr>
      <w:r>
        <w:rPr>
          <w:rFonts w:cs="Arial"/>
          <w:szCs w:val="22"/>
        </w:rPr>
        <w:t>E</w:t>
      </w:r>
      <w:r w:rsidR="00E35DB5" w:rsidRPr="00EC0718">
        <w:rPr>
          <w:rFonts w:cs="Arial"/>
          <w:szCs w:val="22"/>
        </w:rPr>
        <w:t xml:space="preserve">xempting SRDUs does not mean that the Commission must relinquish its role in </w:t>
      </w:r>
      <w:r w:rsidR="009145CE">
        <w:rPr>
          <w:rFonts w:cs="Arial"/>
          <w:szCs w:val="22"/>
        </w:rPr>
        <w:t>protecting competition in the market.</w:t>
      </w:r>
      <w:r w:rsidR="00DF088C">
        <w:rPr>
          <w:rFonts w:cs="Arial"/>
          <w:szCs w:val="22"/>
        </w:rPr>
        <w:t xml:space="preserve"> </w:t>
      </w:r>
      <w:r w:rsidR="009145CE">
        <w:rPr>
          <w:rFonts w:cs="Arial"/>
          <w:szCs w:val="22"/>
        </w:rPr>
        <w:t xml:space="preserve"> The Commission’s traditional role in </w:t>
      </w:r>
      <w:r w:rsidR="00E35DB5" w:rsidRPr="00EC0718">
        <w:rPr>
          <w:rFonts w:cs="Arial"/>
          <w:szCs w:val="22"/>
        </w:rPr>
        <w:t>managing disputes between SRDUs, BDUs</w:t>
      </w:r>
      <w:r w:rsidR="00F66D8C">
        <w:rPr>
          <w:rFonts w:cs="Arial"/>
          <w:szCs w:val="22"/>
        </w:rPr>
        <w:t>,</w:t>
      </w:r>
      <w:r w:rsidR="00E35DB5" w:rsidRPr="00EC0718">
        <w:rPr>
          <w:rFonts w:cs="Arial"/>
          <w:szCs w:val="22"/>
        </w:rPr>
        <w:t xml:space="preserve"> and program undertakings</w:t>
      </w:r>
      <w:r w:rsidR="009145CE">
        <w:rPr>
          <w:rFonts w:cs="Arial"/>
          <w:szCs w:val="22"/>
        </w:rPr>
        <w:t xml:space="preserve"> can be entrenched within a new SRDU exemption order.</w:t>
      </w:r>
      <w:r w:rsidR="00DF088C">
        <w:rPr>
          <w:rFonts w:cs="Arial"/>
          <w:szCs w:val="22"/>
        </w:rPr>
        <w:t xml:space="preserve"> </w:t>
      </w:r>
      <w:r w:rsidR="009145CE">
        <w:rPr>
          <w:rFonts w:cs="Arial"/>
          <w:szCs w:val="22"/>
        </w:rPr>
        <w:t xml:space="preserve"> Such an exemption order could include language similar to that found in the </w:t>
      </w:r>
      <w:r w:rsidR="00A31334">
        <w:rPr>
          <w:rFonts w:cs="Arial"/>
          <w:szCs w:val="22"/>
        </w:rPr>
        <w:t>e</w:t>
      </w:r>
      <w:r w:rsidR="00E35DB5" w:rsidRPr="00EC0718">
        <w:rPr>
          <w:rFonts w:cs="Arial"/>
          <w:szCs w:val="22"/>
        </w:rPr>
        <w:t xml:space="preserve">xemption order respecting </w:t>
      </w:r>
      <w:r w:rsidR="00432C0D">
        <w:rPr>
          <w:rFonts w:cs="Arial"/>
          <w:szCs w:val="22"/>
        </w:rPr>
        <w:t>TRDUs</w:t>
      </w:r>
      <w:r w:rsidR="009145CE">
        <w:rPr>
          <w:rFonts w:cs="Arial"/>
          <w:szCs w:val="22"/>
        </w:rPr>
        <w:t>, which</w:t>
      </w:r>
      <w:r w:rsidR="00432C0D">
        <w:rPr>
          <w:rFonts w:cs="Arial"/>
          <w:szCs w:val="22"/>
        </w:rPr>
        <w:t xml:space="preserve"> </w:t>
      </w:r>
      <w:r w:rsidR="00E35DB5" w:rsidRPr="00EC0718">
        <w:rPr>
          <w:rFonts w:cs="Arial"/>
          <w:szCs w:val="22"/>
        </w:rPr>
        <w:t xml:space="preserve">explicitly requires </w:t>
      </w:r>
      <w:r w:rsidR="009145CE">
        <w:rPr>
          <w:rFonts w:cs="Arial"/>
          <w:szCs w:val="22"/>
        </w:rPr>
        <w:t xml:space="preserve">TRDUs </w:t>
      </w:r>
      <w:r w:rsidR="00E35DB5" w:rsidRPr="00EC0718">
        <w:rPr>
          <w:rFonts w:cs="Arial"/>
          <w:szCs w:val="22"/>
        </w:rPr>
        <w:t xml:space="preserve">to submit to </w:t>
      </w:r>
      <w:r w:rsidR="00291B18">
        <w:rPr>
          <w:rFonts w:cs="Arial"/>
          <w:szCs w:val="22"/>
        </w:rPr>
        <w:t>Commission</w:t>
      </w:r>
      <w:r w:rsidR="00291B18" w:rsidRPr="00EC0718">
        <w:rPr>
          <w:rFonts w:cs="Arial"/>
          <w:szCs w:val="22"/>
        </w:rPr>
        <w:t xml:space="preserve"> </w:t>
      </w:r>
      <w:r w:rsidR="00E35DB5" w:rsidRPr="00EC0718">
        <w:rPr>
          <w:rFonts w:cs="Arial"/>
          <w:szCs w:val="22"/>
        </w:rPr>
        <w:t>dispute resolution:</w:t>
      </w:r>
    </w:p>
    <w:p w14:paraId="2E153725" w14:textId="77777777" w:rsidR="00E35DB5" w:rsidRPr="00EC0718" w:rsidRDefault="00E35DB5" w:rsidP="00E35DB5">
      <w:pPr>
        <w:tabs>
          <w:tab w:val="clear" w:pos="720"/>
        </w:tabs>
        <w:autoSpaceDE w:val="0"/>
        <w:autoSpaceDN w:val="0"/>
        <w:ind w:right="720"/>
        <w:contextualSpacing/>
        <w:jc w:val="both"/>
        <w:rPr>
          <w:rFonts w:cs="Arial"/>
          <w:szCs w:val="22"/>
        </w:rPr>
      </w:pPr>
    </w:p>
    <w:p w14:paraId="7EF156E9" w14:textId="77777777" w:rsidR="00E35DB5" w:rsidRPr="00EC0718" w:rsidRDefault="00E35DB5" w:rsidP="00E35DB5">
      <w:pPr>
        <w:widowControl/>
        <w:tabs>
          <w:tab w:val="clear" w:pos="720"/>
        </w:tabs>
        <w:ind w:left="720" w:right="720"/>
        <w:jc w:val="both"/>
        <w:rPr>
          <w:rFonts w:cs="Arial"/>
          <w:szCs w:val="22"/>
        </w:rPr>
      </w:pPr>
      <w:r w:rsidRPr="00EC0718">
        <w:rPr>
          <w:rFonts w:cs="Arial"/>
          <w:szCs w:val="22"/>
        </w:rPr>
        <w:t xml:space="preserve">If a dispute concerning the terms and conditions under which programming services are or may be provided or distributed arises between the undertaking and a distribution undertaking or a programming undertaking, whether operating by licence or by exemption order, </w:t>
      </w:r>
      <w:r w:rsidRPr="00C66190">
        <w:rPr>
          <w:rFonts w:cs="Arial"/>
          <w:b/>
          <w:szCs w:val="22"/>
        </w:rPr>
        <w:t>the undertaking submits to such dispute resolution process or processes as may be required by the Commission and to any decision resulting therefrom</w:t>
      </w:r>
      <w:r w:rsidRPr="00EC0718">
        <w:rPr>
          <w:rFonts w:cs="Arial"/>
          <w:szCs w:val="22"/>
        </w:rPr>
        <w:t>.</w:t>
      </w:r>
      <w:r w:rsidRPr="00EC0718">
        <w:rPr>
          <w:rStyle w:val="FootnoteReference"/>
          <w:rFonts w:cs="Arial"/>
          <w:szCs w:val="22"/>
        </w:rPr>
        <w:footnoteReference w:id="21"/>
      </w:r>
      <w:r w:rsidRPr="00EC0718">
        <w:rPr>
          <w:rFonts w:cs="Arial"/>
          <w:szCs w:val="22"/>
        </w:rPr>
        <w:t xml:space="preserve"> [Emphasis added]</w:t>
      </w:r>
    </w:p>
    <w:p w14:paraId="0BA02BFF" w14:textId="77777777" w:rsidR="00E35DB5" w:rsidRPr="00EC0718" w:rsidRDefault="00E35DB5" w:rsidP="00E35DB5">
      <w:pPr>
        <w:tabs>
          <w:tab w:val="clear" w:pos="720"/>
        </w:tabs>
        <w:autoSpaceDE w:val="0"/>
        <w:autoSpaceDN w:val="0"/>
        <w:spacing w:line="360" w:lineRule="auto"/>
        <w:ind w:right="111"/>
        <w:contextualSpacing/>
        <w:jc w:val="both"/>
        <w:rPr>
          <w:rFonts w:cs="Arial"/>
          <w:szCs w:val="22"/>
        </w:rPr>
      </w:pPr>
    </w:p>
    <w:p w14:paraId="19FCDC9B" w14:textId="7671A370" w:rsidR="001C15BE" w:rsidRPr="00EC0718" w:rsidRDefault="00431F68" w:rsidP="001C15BE">
      <w:pPr>
        <w:widowControl/>
        <w:numPr>
          <w:ilvl w:val="0"/>
          <w:numId w:val="3"/>
        </w:numPr>
        <w:spacing w:line="360" w:lineRule="auto"/>
        <w:jc w:val="both"/>
        <w:rPr>
          <w:rFonts w:cs="Arial"/>
          <w:szCs w:val="22"/>
        </w:rPr>
      </w:pPr>
      <w:r>
        <w:rPr>
          <w:rFonts w:cs="Arial"/>
          <w:szCs w:val="22"/>
        </w:rPr>
        <w:t>A</w:t>
      </w:r>
      <w:r w:rsidR="00E35DB5" w:rsidRPr="00EC0718">
        <w:rPr>
          <w:rFonts w:cs="Arial"/>
          <w:szCs w:val="22"/>
        </w:rPr>
        <w:t xml:space="preserve"> provision </w:t>
      </w:r>
      <w:r>
        <w:rPr>
          <w:rFonts w:cs="Arial"/>
          <w:szCs w:val="22"/>
        </w:rPr>
        <w:t xml:space="preserve">similar to the one above </w:t>
      </w:r>
      <w:r w:rsidR="00E35DB5" w:rsidRPr="00EC0718">
        <w:rPr>
          <w:rFonts w:cs="Arial"/>
          <w:szCs w:val="22"/>
        </w:rPr>
        <w:t>could be included in a SRDU exemption order</w:t>
      </w:r>
      <w:r w:rsidR="00A31334">
        <w:rPr>
          <w:rFonts w:cs="Arial"/>
          <w:szCs w:val="22"/>
        </w:rPr>
        <w:t>, and</w:t>
      </w:r>
      <w:r>
        <w:rPr>
          <w:rFonts w:cs="Arial"/>
          <w:szCs w:val="22"/>
        </w:rPr>
        <w:t>,</w:t>
      </w:r>
      <w:r w:rsidR="00A31334">
        <w:rPr>
          <w:rFonts w:cs="Arial"/>
          <w:szCs w:val="22"/>
        </w:rPr>
        <w:t xml:space="preserve"> i</w:t>
      </w:r>
      <w:r w:rsidR="00E35DB5" w:rsidRPr="00EC0718">
        <w:rPr>
          <w:rFonts w:cs="Arial"/>
          <w:szCs w:val="22"/>
        </w:rPr>
        <w:t xml:space="preserve">n this way, the Commission could easily address any potential market abuses.  </w:t>
      </w:r>
      <w:r w:rsidR="007C15AC">
        <w:rPr>
          <w:rFonts w:cs="Arial"/>
          <w:szCs w:val="22"/>
        </w:rPr>
        <w:t xml:space="preserve">Additionally, we note </w:t>
      </w:r>
      <w:r w:rsidR="000913DF">
        <w:rPr>
          <w:rFonts w:cs="Arial"/>
          <w:szCs w:val="22"/>
        </w:rPr>
        <w:t xml:space="preserve">that </w:t>
      </w:r>
      <w:r w:rsidR="000913DF" w:rsidRPr="00EC0718">
        <w:rPr>
          <w:rFonts w:cs="Arial"/>
          <w:szCs w:val="22"/>
        </w:rPr>
        <w:t>there</w:t>
      </w:r>
      <w:r w:rsidR="001C15BE" w:rsidRPr="00EC0718">
        <w:rPr>
          <w:rFonts w:cs="Arial"/>
          <w:szCs w:val="22"/>
        </w:rPr>
        <w:t xml:space="preserve"> is no evidence of </w:t>
      </w:r>
      <w:r>
        <w:rPr>
          <w:rFonts w:cs="Arial"/>
          <w:szCs w:val="22"/>
        </w:rPr>
        <w:t>anti-competitive behavior in</w:t>
      </w:r>
      <w:r w:rsidR="007C15AC">
        <w:rPr>
          <w:rFonts w:cs="Arial"/>
          <w:szCs w:val="22"/>
        </w:rPr>
        <w:t xml:space="preserve"> the </w:t>
      </w:r>
      <w:r w:rsidR="00341FDA">
        <w:rPr>
          <w:rFonts w:cs="Arial"/>
          <w:szCs w:val="22"/>
        </w:rPr>
        <w:t>market for the distribution of program signals</w:t>
      </w:r>
      <w:r w:rsidR="007C15AC">
        <w:rPr>
          <w:rFonts w:cs="Arial"/>
          <w:szCs w:val="22"/>
        </w:rPr>
        <w:t xml:space="preserve">. </w:t>
      </w:r>
      <w:r w:rsidR="005D1EE5">
        <w:rPr>
          <w:rFonts w:cs="Arial"/>
          <w:szCs w:val="22"/>
        </w:rPr>
        <w:t xml:space="preserve"> </w:t>
      </w:r>
      <w:r w:rsidR="001C15BE" w:rsidRPr="00EC0718">
        <w:rPr>
          <w:rFonts w:cs="Arial"/>
          <w:szCs w:val="22"/>
        </w:rPr>
        <w:t xml:space="preserve">In our case, there has not been a complaint about our SRDU </w:t>
      </w:r>
      <w:r w:rsidR="00341FDA">
        <w:rPr>
          <w:rFonts w:cs="Arial"/>
          <w:szCs w:val="22"/>
        </w:rPr>
        <w:t xml:space="preserve">or TRDU </w:t>
      </w:r>
      <w:r w:rsidR="001C15BE" w:rsidRPr="00EC0718">
        <w:rPr>
          <w:rFonts w:cs="Arial"/>
          <w:szCs w:val="22"/>
        </w:rPr>
        <w:t>service</w:t>
      </w:r>
      <w:r w:rsidR="00341FDA">
        <w:rPr>
          <w:rFonts w:cs="Arial"/>
          <w:szCs w:val="22"/>
        </w:rPr>
        <w:t>s</w:t>
      </w:r>
      <w:r w:rsidR="001C15BE" w:rsidRPr="00EC0718">
        <w:rPr>
          <w:rFonts w:cs="Arial"/>
          <w:szCs w:val="22"/>
        </w:rPr>
        <w:t>, including the pricing of the service</w:t>
      </w:r>
      <w:r w:rsidR="00341FDA">
        <w:rPr>
          <w:rFonts w:cs="Arial"/>
          <w:szCs w:val="22"/>
        </w:rPr>
        <w:t>s</w:t>
      </w:r>
      <w:r w:rsidR="001C15BE" w:rsidRPr="00EC0718">
        <w:rPr>
          <w:rFonts w:cs="Arial"/>
          <w:szCs w:val="22"/>
        </w:rPr>
        <w:t>, in recent memory.</w:t>
      </w:r>
      <w:r w:rsidR="001C15BE" w:rsidRPr="00EC0718">
        <w:rPr>
          <w:rStyle w:val="FootnoteReference"/>
          <w:rFonts w:cs="Arial"/>
          <w:szCs w:val="22"/>
        </w:rPr>
        <w:footnoteReference w:id="22"/>
      </w:r>
      <w:r w:rsidR="001C15BE" w:rsidRPr="00EC0718">
        <w:rPr>
          <w:rFonts w:cs="Arial"/>
          <w:szCs w:val="22"/>
        </w:rPr>
        <w:t xml:space="preserve">  Additionally, we are not aware of any complaints against Shaw Broadcast Services.</w:t>
      </w:r>
    </w:p>
    <w:p w14:paraId="03341389" w14:textId="77777777" w:rsidR="00E35DB5" w:rsidRPr="00EC0718" w:rsidRDefault="00E35DB5" w:rsidP="00E35DB5">
      <w:pPr>
        <w:tabs>
          <w:tab w:val="clear" w:pos="720"/>
        </w:tabs>
        <w:autoSpaceDE w:val="0"/>
        <w:autoSpaceDN w:val="0"/>
        <w:spacing w:line="360" w:lineRule="auto"/>
        <w:ind w:right="111"/>
        <w:contextualSpacing/>
        <w:jc w:val="both"/>
        <w:rPr>
          <w:rFonts w:cs="Arial"/>
          <w:szCs w:val="22"/>
        </w:rPr>
      </w:pPr>
    </w:p>
    <w:p w14:paraId="02870A6C" w14:textId="77777777" w:rsidR="00E35DB5" w:rsidRPr="00EC0718" w:rsidRDefault="00E35DB5" w:rsidP="00E35DB5">
      <w:pPr>
        <w:pStyle w:val="Heading1"/>
      </w:pPr>
      <w:bookmarkStart w:id="8" w:name="_Toc161652253"/>
      <w:r w:rsidRPr="00EC0718">
        <w:t>CONCLUSION</w:t>
      </w:r>
      <w:bookmarkEnd w:id="8"/>
    </w:p>
    <w:p w14:paraId="11A77700" w14:textId="77777777" w:rsidR="00E35DB5" w:rsidRPr="00EC0718" w:rsidRDefault="00E35DB5" w:rsidP="00E35DB5">
      <w:pPr>
        <w:widowControl/>
        <w:spacing w:line="360" w:lineRule="auto"/>
        <w:jc w:val="both"/>
        <w:rPr>
          <w:rFonts w:cs="Arial"/>
          <w:szCs w:val="22"/>
        </w:rPr>
      </w:pPr>
    </w:p>
    <w:p w14:paraId="608D0375" w14:textId="2B5149D6" w:rsidR="00E35DB5" w:rsidRPr="00EC0718" w:rsidRDefault="00E35DB5" w:rsidP="00E35DB5">
      <w:pPr>
        <w:widowControl/>
        <w:numPr>
          <w:ilvl w:val="0"/>
          <w:numId w:val="3"/>
        </w:numPr>
        <w:spacing w:line="360" w:lineRule="auto"/>
        <w:jc w:val="both"/>
        <w:rPr>
          <w:rFonts w:cs="Arial"/>
          <w:szCs w:val="22"/>
        </w:rPr>
      </w:pPr>
      <w:r w:rsidRPr="00EC0718">
        <w:rPr>
          <w:rFonts w:cs="Arial"/>
          <w:szCs w:val="22"/>
        </w:rPr>
        <w:t xml:space="preserve">In this Application, we request that the Commission remove the COS requiring our SRDU to contribute to the creation of Canadian programming.  We make this request in light of a rapidly changing business environment in which our SRDU revenues have declined precipitously and competition from unregulated foreign digital undertakings has placed severe stress on our </w:t>
      </w:r>
      <w:r w:rsidRPr="00EC0718">
        <w:rPr>
          <w:rFonts w:cs="Arial"/>
          <w:szCs w:val="22"/>
        </w:rPr>
        <w:lastRenderedPageBreak/>
        <w:t xml:space="preserve">business.  Our SRDU no longer makes meaningful contributions to the objectives of the </w:t>
      </w:r>
      <w:r w:rsidRPr="00EC0718">
        <w:rPr>
          <w:rFonts w:cs="Arial"/>
          <w:i/>
          <w:szCs w:val="22"/>
        </w:rPr>
        <w:t>Act</w:t>
      </w:r>
      <w:r w:rsidRPr="00EC0718">
        <w:rPr>
          <w:rFonts w:cs="Arial"/>
          <w:szCs w:val="22"/>
        </w:rPr>
        <w:t xml:space="preserve"> and its current regulatory treatment is inconsistent with other exempt undertakings. </w:t>
      </w:r>
      <w:r w:rsidR="00A227D9" w:rsidRPr="00EC0718">
        <w:rPr>
          <w:rFonts w:cs="Arial"/>
          <w:szCs w:val="22"/>
        </w:rPr>
        <w:t xml:space="preserve"> </w:t>
      </w:r>
      <w:r w:rsidRPr="00EC0718">
        <w:rPr>
          <w:rFonts w:cs="Arial"/>
          <w:szCs w:val="22"/>
        </w:rPr>
        <w:t>Eliminating the COS in question would help to alleviate some of the heavy regulatory burden currently shouldered by traditional program distributors and would be in keeping with the Government</w:t>
      </w:r>
      <w:r w:rsidR="0068192E">
        <w:rPr>
          <w:rFonts w:cs="Arial"/>
          <w:szCs w:val="22"/>
        </w:rPr>
        <w:t>'</w:t>
      </w:r>
      <w:r w:rsidRPr="00EC0718">
        <w:rPr>
          <w:rFonts w:cs="Arial"/>
          <w:szCs w:val="22"/>
        </w:rPr>
        <w:t>s recent direction to the Commission.</w:t>
      </w:r>
    </w:p>
    <w:p w14:paraId="1CCA82C9" w14:textId="77777777" w:rsidR="00E35DB5" w:rsidRPr="00EC0718" w:rsidRDefault="00E35DB5" w:rsidP="00E35DB5">
      <w:pPr>
        <w:widowControl/>
        <w:tabs>
          <w:tab w:val="clear" w:pos="720"/>
        </w:tabs>
        <w:spacing w:line="360" w:lineRule="auto"/>
        <w:jc w:val="both"/>
        <w:rPr>
          <w:rFonts w:cs="Arial"/>
          <w:szCs w:val="22"/>
        </w:rPr>
      </w:pPr>
    </w:p>
    <w:p w14:paraId="20082659" w14:textId="42D525B8" w:rsidR="00E35DB5" w:rsidRPr="00EC0718" w:rsidRDefault="00E35DB5" w:rsidP="00E35DB5">
      <w:pPr>
        <w:widowControl/>
        <w:numPr>
          <w:ilvl w:val="0"/>
          <w:numId w:val="3"/>
        </w:numPr>
        <w:spacing w:line="360" w:lineRule="auto"/>
        <w:jc w:val="both"/>
        <w:rPr>
          <w:rFonts w:cs="Arial"/>
          <w:szCs w:val="22"/>
        </w:rPr>
      </w:pPr>
      <w:r w:rsidRPr="00EC0718">
        <w:rPr>
          <w:rFonts w:cs="Arial"/>
          <w:szCs w:val="22"/>
        </w:rPr>
        <w:t xml:space="preserve">We also ask the Commission to initiate a policy review to consider exempting all SRDUs from licensing. </w:t>
      </w:r>
      <w:r w:rsidR="00A227D9" w:rsidRPr="00EC0718">
        <w:rPr>
          <w:rFonts w:cs="Arial"/>
          <w:szCs w:val="22"/>
        </w:rPr>
        <w:t xml:space="preserve"> </w:t>
      </w:r>
      <w:r w:rsidRPr="00EC0718">
        <w:rPr>
          <w:rFonts w:cs="Arial"/>
          <w:szCs w:val="22"/>
        </w:rPr>
        <w:t xml:space="preserve">Given the evolving broadcasting environment, SRDUs no longer make meaningful contributions to the objectives of the </w:t>
      </w:r>
      <w:r w:rsidRPr="00EC0718">
        <w:rPr>
          <w:rFonts w:cs="Arial"/>
          <w:i/>
          <w:szCs w:val="22"/>
        </w:rPr>
        <w:t>Act</w:t>
      </w:r>
      <w:r w:rsidRPr="00EC0718">
        <w:rPr>
          <w:rFonts w:cs="Arial"/>
          <w:szCs w:val="22"/>
        </w:rPr>
        <w:t xml:space="preserve">. </w:t>
      </w:r>
      <w:r w:rsidR="00A227D9" w:rsidRPr="00EC0718">
        <w:rPr>
          <w:rFonts w:cs="Arial"/>
          <w:szCs w:val="22"/>
        </w:rPr>
        <w:t xml:space="preserve"> </w:t>
      </w:r>
      <w:r w:rsidRPr="00EC0718">
        <w:rPr>
          <w:rFonts w:cs="Arial"/>
          <w:szCs w:val="22"/>
        </w:rPr>
        <w:t xml:space="preserve">To the extent that the Commission may continue to have concerns about a lack of competition in certain remote areas, these concerns can easily be addressed by mandating </w:t>
      </w:r>
      <w:r w:rsidR="00A31334">
        <w:rPr>
          <w:rFonts w:cs="Arial"/>
          <w:szCs w:val="22"/>
        </w:rPr>
        <w:t>Commission</w:t>
      </w:r>
      <w:r w:rsidR="00A31334" w:rsidRPr="00EC0718">
        <w:rPr>
          <w:rFonts w:cs="Arial"/>
          <w:szCs w:val="22"/>
        </w:rPr>
        <w:t xml:space="preserve"> </w:t>
      </w:r>
      <w:r w:rsidRPr="00EC0718">
        <w:rPr>
          <w:rFonts w:cs="Arial"/>
          <w:szCs w:val="22"/>
        </w:rPr>
        <w:t>dispute resolution for SRDUs, BDUs</w:t>
      </w:r>
      <w:r w:rsidR="00291B18">
        <w:rPr>
          <w:rFonts w:cs="Arial"/>
          <w:szCs w:val="22"/>
        </w:rPr>
        <w:t>,</w:t>
      </w:r>
      <w:r w:rsidRPr="00EC0718">
        <w:rPr>
          <w:rFonts w:cs="Arial"/>
          <w:szCs w:val="22"/>
        </w:rPr>
        <w:t xml:space="preserve"> and programmers as part of a new </w:t>
      </w:r>
      <w:r w:rsidR="00A227D9" w:rsidRPr="00EC0718">
        <w:rPr>
          <w:rFonts w:cs="Arial"/>
          <w:szCs w:val="22"/>
        </w:rPr>
        <w:t>exemption order.</w:t>
      </w:r>
    </w:p>
    <w:p w14:paraId="73B3E930" w14:textId="77777777" w:rsidR="00AA324E" w:rsidRPr="00EC0718" w:rsidRDefault="00AA324E" w:rsidP="00A227D9">
      <w:pPr>
        <w:pStyle w:val="ListParagraph"/>
        <w:spacing w:line="360" w:lineRule="auto"/>
        <w:ind w:left="0"/>
        <w:jc w:val="both"/>
        <w:rPr>
          <w:rFonts w:cs="Arial"/>
          <w:szCs w:val="22"/>
        </w:rPr>
      </w:pPr>
    </w:p>
    <w:p w14:paraId="5805D3DE" w14:textId="77777777" w:rsidR="00D674B2" w:rsidRPr="00EC0718" w:rsidRDefault="00AA324E" w:rsidP="00A227D9">
      <w:pPr>
        <w:spacing w:line="360" w:lineRule="auto"/>
        <w:jc w:val="center"/>
        <w:rPr>
          <w:rFonts w:cs="Arial"/>
          <w:bCs/>
          <w:szCs w:val="22"/>
        </w:rPr>
      </w:pPr>
      <w:r w:rsidRPr="00EC0718">
        <w:rPr>
          <w:rFonts w:cs="Arial"/>
          <w:bCs/>
          <w:szCs w:val="22"/>
        </w:rPr>
        <w:t>*** End of Document ***</w:t>
      </w:r>
    </w:p>
    <w:sectPr w:rsidR="00D674B2" w:rsidRPr="00EC0718" w:rsidSect="00E35DB5">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9E668" w14:textId="77777777" w:rsidR="00017121" w:rsidRDefault="00017121">
      <w:r>
        <w:separator/>
      </w:r>
    </w:p>
  </w:endnote>
  <w:endnote w:type="continuationSeparator" w:id="0">
    <w:p w14:paraId="5C5C5A7A" w14:textId="77777777" w:rsidR="00017121" w:rsidRDefault="0001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62A63" w14:textId="77777777" w:rsidR="00E173C5" w:rsidRDefault="00E17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0B69C" w14:textId="77777777" w:rsidR="00E173C5" w:rsidRDefault="00E1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D062E" w14:textId="77777777" w:rsidR="00E173C5" w:rsidRDefault="00E1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D13FF" w14:textId="77777777" w:rsidR="00017121" w:rsidRDefault="00017121">
      <w:r>
        <w:separator/>
      </w:r>
    </w:p>
  </w:footnote>
  <w:footnote w:type="continuationSeparator" w:id="0">
    <w:p w14:paraId="3AD7515F" w14:textId="77777777" w:rsidR="00017121" w:rsidRDefault="00017121">
      <w:r>
        <w:continuationSeparator/>
      </w:r>
    </w:p>
  </w:footnote>
  <w:footnote w:id="1">
    <w:p w14:paraId="29842C47" w14:textId="5FB7AFD3" w:rsidR="005A69F0" w:rsidRPr="004262DE" w:rsidRDefault="005A69F0"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193FA7" w:rsidRPr="004262DE">
        <w:rPr>
          <w:sz w:val="18"/>
          <w:szCs w:val="18"/>
        </w:rPr>
        <w:tab/>
      </w:r>
      <w:r w:rsidRPr="004262DE">
        <w:rPr>
          <w:sz w:val="18"/>
          <w:szCs w:val="18"/>
        </w:rPr>
        <w:t xml:space="preserve">We note that the former Conditions of licence (COL) of our SRDU are now considered </w:t>
      </w:r>
      <w:r w:rsidR="00A41770" w:rsidRPr="004262DE">
        <w:rPr>
          <w:sz w:val="18"/>
          <w:szCs w:val="18"/>
        </w:rPr>
        <w:t>C</w:t>
      </w:r>
      <w:r w:rsidRPr="004262DE">
        <w:rPr>
          <w:sz w:val="18"/>
          <w:szCs w:val="18"/>
        </w:rPr>
        <w:t xml:space="preserve">onditions of </w:t>
      </w:r>
      <w:r w:rsidR="00A41770" w:rsidRPr="004262DE">
        <w:rPr>
          <w:sz w:val="18"/>
          <w:szCs w:val="18"/>
        </w:rPr>
        <w:t>S</w:t>
      </w:r>
      <w:r w:rsidRPr="004262DE">
        <w:rPr>
          <w:sz w:val="18"/>
          <w:szCs w:val="18"/>
        </w:rPr>
        <w:t>ervice.</w:t>
      </w:r>
      <w:r w:rsidR="00A41770" w:rsidRPr="004262DE">
        <w:rPr>
          <w:sz w:val="18"/>
          <w:szCs w:val="18"/>
        </w:rPr>
        <w:t xml:space="preserve"> </w:t>
      </w:r>
      <w:r w:rsidRPr="004262DE">
        <w:rPr>
          <w:sz w:val="18"/>
          <w:szCs w:val="18"/>
        </w:rPr>
        <w:t xml:space="preserve"> See Broadcasting Information Bulletin CRTC 2023-137</w:t>
      </w:r>
      <w:r w:rsidR="00A41770" w:rsidRPr="004262DE">
        <w:rPr>
          <w:sz w:val="18"/>
          <w:szCs w:val="18"/>
        </w:rPr>
        <w:t xml:space="preserve">, </w:t>
      </w:r>
      <w:r w:rsidR="00A41770" w:rsidRPr="00C66190">
        <w:rPr>
          <w:i/>
          <w:sz w:val="18"/>
          <w:szCs w:val="18"/>
        </w:rPr>
        <w:t>Guidance on the current Broadcasting Act and the transitional provisions of the Online Streaming Act</w:t>
      </w:r>
      <w:r w:rsidR="00A41770" w:rsidRPr="004262DE">
        <w:rPr>
          <w:sz w:val="18"/>
          <w:szCs w:val="18"/>
        </w:rPr>
        <w:t xml:space="preserve">, paragraph </w:t>
      </w:r>
      <w:r w:rsidRPr="004262DE">
        <w:rPr>
          <w:sz w:val="18"/>
          <w:szCs w:val="18"/>
        </w:rPr>
        <w:t>11.</w:t>
      </w:r>
    </w:p>
  </w:footnote>
  <w:footnote w:id="2">
    <w:p w14:paraId="4EA362B4" w14:textId="20EC9A82" w:rsidR="005A69F0" w:rsidRPr="00030F5F" w:rsidRDefault="005A69F0" w:rsidP="00193FA7">
      <w:pPr>
        <w:pStyle w:val="FootnoteText"/>
        <w:ind w:left="360" w:hanging="360"/>
        <w:jc w:val="both"/>
        <w:rPr>
          <w:rFonts w:cs="Arial"/>
          <w:sz w:val="18"/>
          <w:szCs w:val="18"/>
          <w:lang w:val="en-CA"/>
        </w:rPr>
      </w:pPr>
      <w:r w:rsidRPr="00030F5F">
        <w:rPr>
          <w:rStyle w:val="FootnoteReference"/>
          <w:rFonts w:cs="Arial"/>
          <w:sz w:val="18"/>
          <w:szCs w:val="18"/>
        </w:rPr>
        <w:footnoteRef/>
      </w:r>
      <w:r w:rsidRPr="00030F5F">
        <w:rPr>
          <w:rFonts w:cs="Arial"/>
          <w:sz w:val="18"/>
          <w:szCs w:val="18"/>
        </w:rPr>
        <w:t xml:space="preserve"> </w:t>
      </w:r>
      <w:r w:rsidRPr="00030F5F">
        <w:rPr>
          <w:rFonts w:cs="Arial"/>
          <w:sz w:val="18"/>
          <w:szCs w:val="18"/>
        </w:rPr>
        <w:tab/>
      </w:r>
      <w:r w:rsidRPr="00030F5F">
        <w:rPr>
          <w:rFonts w:cs="Arial"/>
          <w:sz w:val="18"/>
          <w:szCs w:val="18"/>
          <w:lang w:val="en-CA"/>
        </w:rPr>
        <w:t xml:space="preserve">Under the revised </w:t>
      </w:r>
      <w:r w:rsidRPr="00030F5F">
        <w:rPr>
          <w:rFonts w:cs="Arial"/>
          <w:i/>
          <w:sz w:val="18"/>
          <w:szCs w:val="18"/>
          <w:lang w:val="en-CA"/>
        </w:rPr>
        <w:t>Broadcasting Act</w:t>
      </w:r>
      <w:r w:rsidR="00A41770" w:rsidRPr="00030F5F">
        <w:rPr>
          <w:rFonts w:cs="Arial"/>
          <w:sz w:val="18"/>
          <w:szCs w:val="18"/>
          <w:lang w:val="en-CA"/>
        </w:rPr>
        <w:t>,</w:t>
      </w:r>
      <w:r w:rsidRPr="00030F5F">
        <w:rPr>
          <w:rFonts w:cs="Arial"/>
          <w:sz w:val="18"/>
          <w:szCs w:val="18"/>
          <w:lang w:val="en-CA"/>
        </w:rPr>
        <w:t xml:space="preserve"> as a result of the changes from Bill C-11, COLs are replaced by Conditions of Service.  </w:t>
      </w:r>
      <w:r w:rsidR="00A41770" w:rsidRPr="00030F5F">
        <w:rPr>
          <w:rFonts w:cs="Arial"/>
          <w:i/>
          <w:sz w:val="18"/>
          <w:szCs w:val="18"/>
          <w:lang w:val="en-CA"/>
        </w:rPr>
        <w:t>Broadcasting Act</w:t>
      </w:r>
      <w:r w:rsidR="00A41770" w:rsidRPr="00030F5F">
        <w:rPr>
          <w:rFonts w:cs="Arial"/>
          <w:sz w:val="18"/>
          <w:szCs w:val="18"/>
          <w:lang w:val="en-CA"/>
        </w:rPr>
        <w:t xml:space="preserve"> (S.C. 1991, c. 11), </w:t>
      </w:r>
      <w:hyperlink r:id="rId1" w:history="1">
        <w:r w:rsidR="00030F5F" w:rsidRPr="00030F5F">
          <w:rPr>
            <w:rStyle w:val="Hyperlink"/>
            <w:sz w:val="18"/>
            <w:szCs w:val="18"/>
          </w:rPr>
          <w:t>https://laws-lois.justice.gc.ca/eng/acts/b-9.01/FullText.html</w:t>
        </w:r>
      </w:hyperlink>
      <w:r w:rsidR="00030F5F" w:rsidRPr="00030F5F">
        <w:rPr>
          <w:sz w:val="18"/>
          <w:szCs w:val="18"/>
        </w:rPr>
        <w:t>.</w:t>
      </w:r>
    </w:p>
  </w:footnote>
  <w:footnote w:id="3">
    <w:p w14:paraId="6D0E7518" w14:textId="77777777" w:rsidR="005A69F0" w:rsidRPr="004262DE" w:rsidRDefault="005A69F0" w:rsidP="00193FA7">
      <w:pPr>
        <w:ind w:left="360" w:hanging="360"/>
        <w:jc w:val="both"/>
        <w:rPr>
          <w:rFonts w:cs="Arial"/>
          <w:sz w:val="18"/>
          <w:szCs w:val="18"/>
          <w:lang w:val="en-CA"/>
        </w:rPr>
      </w:pPr>
      <w:r w:rsidRPr="004262DE">
        <w:rPr>
          <w:rStyle w:val="FootnoteReference"/>
          <w:rFonts w:cs="Arial"/>
          <w:sz w:val="18"/>
          <w:szCs w:val="18"/>
        </w:rPr>
        <w:footnoteRef/>
      </w:r>
      <w:r w:rsidRPr="004262DE">
        <w:rPr>
          <w:rFonts w:cs="Arial"/>
          <w:sz w:val="18"/>
          <w:szCs w:val="18"/>
        </w:rPr>
        <w:t xml:space="preserve"> </w:t>
      </w:r>
      <w:r w:rsidRPr="004262DE">
        <w:rPr>
          <w:rFonts w:cs="Arial"/>
          <w:sz w:val="18"/>
          <w:szCs w:val="18"/>
        </w:rPr>
        <w:tab/>
        <w:t xml:space="preserve">Appendix to Broadcasting Decision CRTC 2019-385, </w:t>
      </w:r>
      <w:r w:rsidRPr="004262DE">
        <w:rPr>
          <w:rFonts w:cs="Arial"/>
          <w:i/>
          <w:sz w:val="18"/>
          <w:szCs w:val="18"/>
        </w:rPr>
        <w:t>Conditions of licence for the satellite relay distribution undertaking operated by Bell ExpressVu Inc. (the general partner) and Bell Canada (the limited partner), carrying on business as Bell ExpressVu Limited Partnership</w:t>
      </w:r>
      <w:r w:rsidRPr="004262DE">
        <w:rPr>
          <w:rFonts w:cs="Arial"/>
          <w:sz w:val="18"/>
          <w:szCs w:val="18"/>
        </w:rPr>
        <w:t>.</w:t>
      </w:r>
    </w:p>
  </w:footnote>
  <w:footnote w:id="4">
    <w:p w14:paraId="5EAF1486" w14:textId="597C6DF5" w:rsidR="005A69F0" w:rsidRPr="004262DE" w:rsidRDefault="005A69F0"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193FA7" w:rsidRPr="004262DE">
        <w:rPr>
          <w:sz w:val="18"/>
          <w:szCs w:val="18"/>
        </w:rPr>
        <w:tab/>
      </w:r>
      <w:r w:rsidRPr="004262DE">
        <w:rPr>
          <w:sz w:val="18"/>
          <w:szCs w:val="18"/>
        </w:rPr>
        <w:t xml:space="preserve">Broadcasting Order CRTC 2009-638, </w:t>
      </w:r>
      <w:r w:rsidRPr="004262DE">
        <w:rPr>
          <w:i/>
          <w:sz w:val="18"/>
          <w:szCs w:val="18"/>
        </w:rPr>
        <w:t>Amendments to the Exemption order respecting terrestrial relay distribution network undertakings</w:t>
      </w:r>
      <w:r w:rsidR="00C531E6" w:rsidRPr="004262DE">
        <w:rPr>
          <w:sz w:val="18"/>
          <w:szCs w:val="18"/>
        </w:rPr>
        <w:t>.</w:t>
      </w:r>
    </w:p>
  </w:footnote>
  <w:footnote w:id="5">
    <w:p w14:paraId="54278BEE" w14:textId="7ED047DA" w:rsidR="002C18C0" w:rsidRPr="00DF088C" w:rsidRDefault="002C18C0" w:rsidP="00B66ECF">
      <w:pPr>
        <w:pStyle w:val="FootnoteText"/>
        <w:ind w:left="360" w:hanging="360"/>
        <w:jc w:val="both"/>
        <w:rPr>
          <w:sz w:val="18"/>
          <w:szCs w:val="18"/>
        </w:rPr>
      </w:pPr>
      <w:r w:rsidRPr="00DF088C">
        <w:rPr>
          <w:rStyle w:val="FootnoteReference"/>
          <w:sz w:val="18"/>
          <w:szCs w:val="18"/>
        </w:rPr>
        <w:footnoteRef/>
      </w:r>
      <w:r w:rsidRPr="00DF088C">
        <w:rPr>
          <w:sz w:val="18"/>
          <w:szCs w:val="18"/>
        </w:rPr>
        <w:t xml:space="preserve"> </w:t>
      </w:r>
      <w:r w:rsidRPr="00DF088C">
        <w:rPr>
          <w:sz w:val="18"/>
          <w:szCs w:val="18"/>
        </w:rPr>
        <w:tab/>
      </w:r>
      <w:r w:rsidRPr="00DF088C">
        <w:rPr>
          <w:i/>
          <w:sz w:val="18"/>
          <w:szCs w:val="18"/>
        </w:rPr>
        <w:t>Order Issuing a Direction to the CRTC on a Renewed Approach to Telecommunications Policy</w:t>
      </w:r>
      <w:r w:rsidRPr="00DF088C">
        <w:rPr>
          <w:sz w:val="18"/>
          <w:szCs w:val="18"/>
        </w:rPr>
        <w:t xml:space="preserve"> (SOR/2023-23), </w:t>
      </w:r>
      <w:hyperlink r:id="rId2" w:history="1">
        <w:r w:rsidR="00DF088C" w:rsidRPr="00DF088C">
          <w:rPr>
            <w:rStyle w:val="Hyperlink"/>
            <w:sz w:val="18"/>
            <w:szCs w:val="18"/>
          </w:rPr>
          <w:t>https://laws.justice.gc.ca/eng/regulations/SOR-2023-23/</w:t>
        </w:r>
      </w:hyperlink>
      <w:r w:rsidR="00DF088C" w:rsidRPr="00DF088C">
        <w:rPr>
          <w:sz w:val="18"/>
          <w:szCs w:val="18"/>
        </w:rPr>
        <w:t>.</w:t>
      </w:r>
      <w:r w:rsidR="00B66ECF" w:rsidRPr="00DF088C">
        <w:rPr>
          <w:sz w:val="18"/>
          <w:szCs w:val="18"/>
        </w:rPr>
        <w:t xml:space="preserve">  (2023 Policy Direction)</w:t>
      </w:r>
    </w:p>
  </w:footnote>
  <w:footnote w:id="6">
    <w:p w14:paraId="7DB34DCA" w14:textId="401384C6" w:rsidR="005A69F0" w:rsidRPr="004262DE" w:rsidRDefault="005A69F0"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00B66ECF" w:rsidRPr="004262DE">
        <w:rPr>
          <w:sz w:val="18"/>
          <w:szCs w:val="18"/>
        </w:rPr>
        <w:t xml:space="preserve">Ibid., </w:t>
      </w:r>
      <w:r w:rsidRPr="004262DE">
        <w:rPr>
          <w:sz w:val="18"/>
          <w:szCs w:val="18"/>
        </w:rPr>
        <w:t>section 11.1</w:t>
      </w:r>
      <w:r w:rsidR="00A510B7" w:rsidRPr="004262DE">
        <w:rPr>
          <w:sz w:val="18"/>
          <w:szCs w:val="18"/>
        </w:rPr>
        <w:t>, paragraph 8(a).</w:t>
      </w:r>
    </w:p>
  </w:footnote>
  <w:footnote w:id="7">
    <w:p w14:paraId="62BC3AE9" w14:textId="3B4B472A" w:rsidR="005A69F0" w:rsidRPr="004262DE" w:rsidRDefault="005A69F0" w:rsidP="00193FA7">
      <w:pPr>
        <w:pStyle w:val="FootnoteText"/>
        <w:ind w:left="360" w:hanging="360"/>
        <w:jc w:val="both"/>
        <w:rPr>
          <w:rFonts w:cs="Arial"/>
          <w:sz w:val="18"/>
          <w:szCs w:val="18"/>
        </w:rPr>
      </w:pPr>
      <w:r w:rsidRPr="004262DE">
        <w:rPr>
          <w:rStyle w:val="FootnoteReference"/>
          <w:rFonts w:cs="Arial"/>
          <w:sz w:val="18"/>
          <w:szCs w:val="18"/>
        </w:rPr>
        <w:footnoteRef/>
      </w:r>
      <w:r w:rsidRPr="004262DE">
        <w:rPr>
          <w:rFonts w:cs="Arial"/>
          <w:sz w:val="18"/>
          <w:szCs w:val="18"/>
        </w:rPr>
        <w:t xml:space="preserve"> </w:t>
      </w:r>
      <w:r w:rsidRPr="004262DE">
        <w:rPr>
          <w:rFonts w:cs="Arial"/>
          <w:sz w:val="18"/>
          <w:szCs w:val="18"/>
        </w:rPr>
        <w:tab/>
      </w:r>
      <w:r w:rsidR="009E562D" w:rsidRPr="004262DE">
        <w:rPr>
          <w:sz w:val="18"/>
          <w:szCs w:val="18"/>
        </w:rPr>
        <w:t xml:space="preserve">Broadcasting and Telecom Information Bulletin CRTC 2010-961, </w:t>
      </w:r>
      <w:r w:rsidR="009E562D" w:rsidRPr="004262DE">
        <w:rPr>
          <w:i/>
          <w:iCs/>
          <w:sz w:val="18"/>
          <w:szCs w:val="18"/>
        </w:rPr>
        <w:t>Procedures for filing confidential information and requesting its disclosure in Commission proceedings</w:t>
      </w:r>
      <w:r w:rsidR="009E562D" w:rsidRPr="004262DE">
        <w:rPr>
          <w:sz w:val="18"/>
          <w:szCs w:val="18"/>
        </w:rPr>
        <w:t>, as amended in Broadcasting and Telecom Information Bulletin CRTC 2010-961-1.</w:t>
      </w:r>
    </w:p>
  </w:footnote>
  <w:footnote w:id="8">
    <w:p w14:paraId="6A2CF8A6" w14:textId="77777777" w:rsidR="008853A6" w:rsidRPr="004262DE" w:rsidRDefault="008853A6" w:rsidP="00193FA7">
      <w:pPr>
        <w:pStyle w:val="FootnoteText"/>
        <w:ind w:left="360" w:hanging="360"/>
        <w:jc w:val="both"/>
        <w:rPr>
          <w:rFonts w:cs="Arial"/>
          <w:sz w:val="18"/>
          <w:szCs w:val="18"/>
        </w:rPr>
      </w:pPr>
      <w:r w:rsidRPr="004262DE">
        <w:rPr>
          <w:rStyle w:val="FootnoteReference"/>
          <w:rFonts w:cs="Arial"/>
          <w:sz w:val="18"/>
          <w:szCs w:val="18"/>
        </w:rPr>
        <w:footnoteRef/>
      </w:r>
      <w:r w:rsidRPr="004262DE">
        <w:rPr>
          <w:rFonts w:cs="Arial"/>
          <w:sz w:val="18"/>
          <w:szCs w:val="18"/>
        </w:rPr>
        <w:t xml:space="preserve"> </w:t>
      </w:r>
      <w:r w:rsidRPr="004262DE">
        <w:rPr>
          <w:rFonts w:cs="Arial"/>
          <w:sz w:val="18"/>
          <w:szCs w:val="18"/>
        </w:rPr>
        <w:tab/>
        <w:t xml:space="preserve">Broadcasting Notice of Consultation CRTC 2022-272, </w:t>
      </w:r>
      <w:r w:rsidRPr="004262DE">
        <w:rPr>
          <w:rFonts w:cs="Arial"/>
          <w:i/>
          <w:sz w:val="18"/>
          <w:szCs w:val="18"/>
        </w:rPr>
        <w:t>Call for comments on an application by TVA to remove the advertising time limit of 12 minutes per clock hour on its discretionary services and on the possibility of removing this limit for other discretionary services</w:t>
      </w:r>
      <w:r w:rsidRPr="004262DE">
        <w:rPr>
          <w:rFonts w:cs="Arial"/>
          <w:sz w:val="18"/>
          <w:szCs w:val="18"/>
        </w:rPr>
        <w:t>, paragraphs 10 and 11.</w:t>
      </w:r>
    </w:p>
  </w:footnote>
  <w:footnote w:id="9">
    <w:p w14:paraId="5A4BE9BF" w14:textId="253DF48B" w:rsidR="008853A6" w:rsidRPr="004262DE" w:rsidRDefault="008853A6"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000153A0" w:rsidRPr="004262DE">
        <w:rPr>
          <w:sz w:val="18"/>
          <w:szCs w:val="18"/>
        </w:rPr>
        <w:t xml:space="preserve">CRTC, </w:t>
      </w:r>
      <w:r w:rsidR="00376407" w:rsidRPr="00C66190">
        <w:rPr>
          <w:i/>
          <w:sz w:val="18"/>
          <w:szCs w:val="18"/>
        </w:rPr>
        <w:t xml:space="preserve">Communications Market Reports </w:t>
      </w:r>
      <w:r w:rsidR="000153A0" w:rsidRPr="00C66190">
        <w:rPr>
          <w:i/>
          <w:sz w:val="18"/>
          <w:szCs w:val="18"/>
        </w:rPr>
        <w:t>–</w:t>
      </w:r>
      <w:r w:rsidR="00376407" w:rsidRPr="00C66190">
        <w:rPr>
          <w:i/>
          <w:sz w:val="18"/>
          <w:szCs w:val="18"/>
        </w:rPr>
        <w:t xml:space="preserve"> Open Data</w:t>
      </w:r>
      <w:r w:rsidR="00376407" w:rsidRPr="004262DE">
        <w:rPr>
          <w:sz w:val="18"/>
          <w:szCs w:val="18"/>
        </w:rPr>
        <w:t xml:space="preserve">, </w:t>
      </w:r>
      <w:r w:rsidR="0032631E" w:rsidRPr="004262DE">
        <w:rPr>
          <w:sz w:val="18"/>
          <w:szCs w:val="18"/>
        </w:rPr>
        <w:t>Data-</w:t>
      </w:r>
      <w:r w:rsidR="000153A0" w:rsidRPr="004262DE">
        <w:rPr>
          <w:sz w:val="18"/>
          <w:szCs w:val="18"/>
        </w:rPr>
        <w:t xml:space="preserve">BDU, </w:t>
      </w:r>
      <w:r w:rsidRPr="004262DE">
        <w:rPr>
          <w:sz w:val="18"/>
          <w:szCs w:val="18"/>
        </w:rPr>
        <w:t>Tab U-T8</w:t>
      </w:r>
      <w:r w:rsidR="000153A0" w:rsidRPr="004262DE">
        <w:rPr>
          <w:sz w:val="18"/>
          <w:szCs w:val="18"/>
        </w:rPr>
        <w:t>, Subscribers (millions) of broadcasting distribution undertakings, by type.</w:t>
      </w:r>
      <w:r w:rsidR="008B713D" w:rsidRPr="004262DE">
        <w:rPr>
          <w:sz w:val="18"/>
          <w:szCs w:val="18"/>
        </w:rPr>
        <w:t xml:space="preserve">  (CM</w:t>
      </w:r>
      <w:r w:rsidR="009648E5" w:rsidRPr="004262DE">
        <w:rPr>
          <w:sz w:val="18"/>
          <w:szCs w:val="18"/>
        </w:rPr>
        <w:t>R</w:t>
      </w:r>
      <w:r w:rsidR="0032631E" w:rsidRPr="004262DE">
        <w:rPr>
          <w:sz w:val="18"/>
          <w:szCs w:val="18"/>
        </w:rPr>
        <w:t xml:space="preserve"> Data-BDU</w:t>
      </w:r>
      <w:r w:rsidR="009648E5" w:rsidRPr="004262DE">
        <w:rPr>
          <w:sz w:val="18"/>
          <w:szCs w:val="18"/>
        </w:rPr>
        <w:t>)</w:t>
      </w:r>
    </w:p>
  </w:footnote>
  <w:footnote w:id="10">
    <w:p w14:paraId="2D531E61" w14:textId="00E1EBA4" w:rsidR="004A58D5" w:rsidRPr="004262DE" w:rsidRDefault="004A58D5"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Pr="004262DE">
        <w:rPr>
          <w:sz w:val="18"/>
          <w:szCs w:val="18"/>
        </w:rPr>
        <w:t>Ibid</w:t>
      </w:r>
      <w:r w:rsidR="009648E5" w:rsidRPr="004262DE">
        <w:rPr>
          <w:sz w:val="18"/>
          <w:szCs w:val="18"/>
        </w:rPr>
        <w:t>.</w:t>
      </w:r>
      <w:r w:rsidRPr="004262DE">
        <w:rPr>
          <w:sz w:val="18"/>
          <w:szCs w:val="18"/>
        </w:rPr>
        <w:t>, Tab U-T8.</w:t>
      </w:r>
    </w:p>
  </w:footnote>
  <w:footnote w:id="11">
    <w:p w14:paraId="68C1287B" w14:textId="41C1ED93" w:rsidR="004A58D5" w:rsidRPr="004262DE" w:rsidRDefault="004A58D5"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Pr="004262DE">
        <w:rPr>
          <w:sz w:val="18"/>
          <w:szCs w:val="18"/>
        </w:rPr>
        <w:t>Ibid</w:t>
      </w:r>
      <w:r w:rsidR="009648E5" w:rsidRPr="004262DE">
        <w:rPr>
          <w:sz w:val="18"/>
          <w:szCs w:val="18"/>
        </w:rPr>
        <w:t>.</w:t>
      </w:r>
      <w:r w:rsidRPr="004262DE">
        <w:rPr>
          <w:sz w:val="18"/>
          <w:szCs w:val="18"/>
        </w:rPr>
        <w:t>, Tab UT-6</w:t>
      </w:r>
      <w:r w:rsidR="009648E5" w:rsidRPr="004262DE">
        <w:rPr>
          <w:sz w:val="18"/>
          <w:szCs w:val="18"/>
        </w:rPr>
        <w:t>, Revenues ($ billions) of broadcasting distribution undertakings, by type.</w:t>
      </w:r>
    </w:p>
  </w:footnote>
  <w:footnote w:id="12">
    <w:p w14:paraId="589B0E83" w14:textId="6BB70248" w:rsidR="009648E5" w:rsidRPr="00391D75" w:rsidRDefault="009648E5" w:rsidP="009648E5">
      <w:pPr>
        <w:pStyle w:val="FootnoteText"/>
        <w:ind w:left="360" w:hanging="360"/>
        <w:jc w:val="both"/>
        <w:rPr>
          <w:sz w:val="18"/>
          <w:szCs w:val="18"/>
        </w:rPr>
      </w:pPr>
      <w:r w:rsidRPr="00391D75">
        <w:rPr>
          <w:rStyle w:val="FootnoteReference"/>
          <w:sz w:val="18"/>
          <w:szCs w:val="18"/>
        </w:rPr>
        <w:footnoteRef/>
      </w:r>
      <w:r w:rsidRPr="00391D75">
        <w:rPr>
          <w:sz w:val="18"/>
          <w:szCs w:val="18"/>
        </w:rPr>
        <w:t xml:space="preserve"> </w:t>
      </w:r>
      <w:r w:rsidRPr="00391D75">
        <w:rPr>
          <w:sz w:val="18"/>
          <w:szCs w:val="18"/>
        </w:rPr>
        <w:tab/>
        <w:t xml:space="preserve">Quoted in the CRTC's </w:t>
      </w:r>
      <w:r w:rsidRPr="00391D75">
        <w:rPr>
          <w:i/>
          <w:sz w:val="18"/>
          <w:szCs w:val="18"/>
        </w:rPr>
        <w:t>Annual highlights of the broadcasting sector 2020-2021</w:t>
      </w:r>
      <w:r w:rsidRPr="00391D75">
        <w:rPr>
          <w:sz w:val="18"/>
          <w:szCs w:val="18"/>
        </w:rPr>
        <w:t xml:space="preserve">, page 5, </w:t>
      </w:r>
      <w:hyperlink r:id="rId3" w:history="1">
        <w:r w:rsidR="00391D75" w:rsidRPr="00391D75">
          <w:rPr>
            <w:rStyle w:val="Hyperlink"/>
            <w:sz w:val="18"/>
            <w:szCs w:val="18"/>
          </w:rPr>
          <w:t>https://crtc.gc.ca/pubs/cmr_broadcasting_2022-en.pdf</w:t>
        </w:r>
      </w:hyperlink>
      <w:r w:rsidR="00391D75" w:rsidRPr="00391D75">
        <w:rPr>
          <w:sz w:val="18"/>
          <w:szCs w:val="18"/>
        </w:rPr>
        <w:t>.</w:t>
      </w:r>
    </w:p>
  </w:footnote>
  <w:footnote w:id="13">
    <w:p w14:paraId="50D0C323" w14:textId="0A00CAA7" w:rsidR="00BF186D" w:rsidRPr="004262DE" w:rsidRDefault="00BF186D" w:rsidP="00583C13">
      <w:pPr>
        <w:pStyle w:val="FootnoteText"/>
        <w:ind w:left="360" w:hanging="360"/>
        <w:jc w:val="both"/>
        <w:rPr>
          <w:sz w:val="18"/>
          <w:szCs w:val="18"/>
          <w:lang w:val="en-CA"/>
        </w:rPr>
      </w:pPr>
      <w:r w:rsidRPr="004262DE">
        <w:rPr>
          <w:rStyle w:val="FootnoteReference"/>
          <w:sz w:val="18"/>
          <w:szCs w:val="18"/>
        </w:rPr>
        <w:footnoteRef/>
      </w:r>
      <w:r w:rsidRPr="004262DE">
        <w:rPr>
          <w:sz w:val="18"/>
          <w:szCs w:val="18"/>
        </w:rPr>
        <w:t xml:space="preserve"> </w:t>
      </w:r>
      <w:r w:rsidR="00583C13" w:rsidRPr="004262DE">
        <w:rPr>
          <w:sz w:val="18"/>
          <w:szCs w:val="18"/>
        </w:rPr>
        <w:tab/>
      </w:r>
      <w:r w:rsidR="00996E5E" w:rsidRPr="004262DE">
        <w:rPr>
          <w:sz w:val="18"/>
          <w:szCs w:val="18"/>
        </w:rPr>
        <w:t xml:space="preserve">Broadcasting Regulatory Policy CRTC 2012-94, </w:t>
      </w:r>
      <w:r w:rsidRPr="00C66190">
        <w:rPr>
          <w:i/>
          <w:sz w:val="18"/>
          <w:szCs w:val="18"/>
          <w:lang w:val="en-CA"/>
        </w:rPr>
        <w:t>Licensing and other issues relating to satellite relay distribution undertakings</w:t>
      </w:r>
      <w:r w:rsidRPr="004262DE">
        <w:rPr>
          <w:sz w:val="18"/>
          <w:szCs w:val="18"/>
          <w:lang w:val="en-CA"/>
        </w:rPr>
        <w:t>.</w:t>
      </w:r>
    </w:p>
  </w:footnote>
  <w:footnote w:id="14">
    <w:p w14:paraId="73DB00C9" w14:textId="62FC5067" w:rsidR="00BF186D" w:rsidRPr="004262DE" w:rsidRDefault="00BF186D" w:rsidP="00193FA7">
      <w:pPr>
        <w:pStyle w:val="FootnoteText"/>
        <w:ind w:left="360" w:hanging="360"/>
        <w:jc w:val="both"/>
        <w:rPr>
          <w:sz w:val="18"/>
          <w:szCs w:val="18"/>
          <w:highlight w:val="yellow"/>
        </w:rPr>
      </w:pPr>
      <w:r w:rsidRPr="004262DE">
        <w:rPr>
          <w:rStyle w:val="FootnoteReference"/>
          <w:sz w:val="18"/>
          <w:szCs w:val="18"/>
        </w:rPr>
        <w:footnoteRef/>
      </w:r>
      <w:r w:rsidRPr="004262DE">
        <w:rPr>
          <w:sz w:val="18"/>
          <w:szCs w:val="18"/>
        </w:rPr>
        <w:t xml:space="preserve"> </w:t>
      </w:r>
      <w:r w:rsidR="00583C13" w:rsidRPr="004262DE">
        <w:rPr>
          <w:sz w:val="18"/>
          <w:szCs w:val="18"/>
        </w:rPr>
        <w:tab/>
        <w:t>CMR</w:t>
      </w:r>
      <w:r w:rsidR="0032631E" w:rsidRPr="004262DE">
        <w:rPr>
          <w:sz w:val="18"/>
          <w:szCs w:val="18"/>
        </w:rPr>
        <w:t xml:space="preserve"> Data-BDU</w:t>
      </w:r>
      <w:r w:rsidR="00583C13" w:rsidRPr="004262DE">
        <w:rPr>
          <w:sz w:val="18"/>
          <w:szCs w:val="18"/>
        </w:rPr>
        <w:t xml:space="preserve">, </w:t>
      </w:r>
      <w:r w:rsidRPr="004262DE">
        <w:rPr>
          <w:sz w:val="18"/>
          <w:szCs w:val="18"/>
        </w:rPr>
        <w:t>Tab U-T5</w:t>
      </w:r>
      <w:r w:rsidR="00583C13" w:rsidRPr="004262DE">
        <w:rPr>
          <w:sz w:val="18"/>
          <w:szCs w:val="18"/>
        </w:rPr>
        <w:t xml:space="preserve">, Evolution of broadcasting distribution revenues ($ billions) and subscribership (millions) compared to the </w:t>
      </w:r>
      <w:r w:rsidR="0032631E" w:rsidRPr="004262DE">
        <w:rPr>
          <w:sz w:val="18"/>
          <w:szCs w:val="18"/>
        </w:rPr>
        <w:t xml:space="preserve">number </w:t>
      </w:r>
      <w:r w:rsidR="00583C13" w:rsidRPr="004262DE">
        <w:rPr>
          <w:sz w:val="18"/>
          <w:szCs w:val="18"/>
        </w:rPr>
        <w:t>of households in Canada.</w:t>
      </w:r>
    </w:p>
  </w:footnote>
  <w:footnote w:id="15">
    <w:p w14:paraId="33BA0E84" w14:textId="5BC37D8A" w:rsidR="00BF186D" w:rsidRPr="004262DE" w:rsidRDefault="00BF186D"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C531E6" w:rsidRPr="004262DE">
        <w:rPr>
          <w:sz w:val="18"/>
          <w:szCs w:val="18"/>
        </w:rPr>
        <w:tab/>
      </w:r>
      <w:r w:rsidRPr="004262DE">
        <w:rPr>
          <w:sz w:val="18"/>
          <w:szCs w:val="18"/>
        </w:rPr>
        <w:t>Ibid.</w:t>
      </w:r>
    </w:p>
  </w:footnote>
  <w:footnote w:id="16">
    <w:p w14:paraId="3534E803" w14:textId="65A31C14" w:rsidR="007E286D" w:rsidRPr="004262DE" w:rsidRDefault="007E286D"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Pr="004262DE">
        <w:rPr>
          <w:sz w:val="18"/>
          <w:szCs w:val="18"/>
        </w:rPr>
        <w:t>Number of subscribers (20,000) multiplied by average annual revenue per subscriber ($768.94)</w:t>
      </w:r>
      <w:r w:rsidR="004262DE">
        <w:rPr>
          <w:sz w:val="18"/>
          <w:szCs w:val="18"/>
        </w:rPr>
        <w:t>.</w:t>
      </w:r>
    </w:p>
  </w:footnote>
  <w:footnote w:id="17">
    <w:p w14:paraId="49B5827F" w14:textId="0383E00D" w:rsidR="00E35DB5" w:rsidRPr="004262DE" w:rsidRDefault="00E35DB5" w:rsidP="00193FA7">
      <w:pPr>
        <w:pStyle w:val="FootnoteText"/>
        <w:ind w:left="360" w:hanging="360"/>
        <w:jc w:val="both"/>
        <w:rPr>
          <w:sz w:val="18"/>
          <w:szCs w:val="18"/>
          <w:lang w:val="en-CA"/>
        </w:rPr>
      </w:pPr>
      <w:r w:rsidRPr="004262DE">
        <w:rPr>
          <w:rStyle w:val="FootnoteReference"/>
          <w:sz w:val="18"/>
          <w:szCs w:val="18"/>
        </w:rPr>
        <w:footnoteRef/>
      </w:r>
      <w:r w:rsidRPr="004262DE">
        <w:rPr>
          <w:sz w:val="18"/>
          <w:szCs w:val="18"/>
        </w:rPr>
        <w:t xml:space="preserve"> </w:t>
      </w:r>
      <w:r w:rsidR="00D924A0" w:rsidRPr="004262DE">
        <w:rPr>
          <w:sz w:val="18"/>
          <w:szCs w:val="18"/>
        </w:rPr>
        <w:tab/>
      </w:r>
      <w:r w:rsidR="004262DE" w:rsidRPr="004262DE">
        <w:rPr>
          <w:sz w:val="18"/>
          <w:szCs w:val="18"/>
        </w:rPr>
        <w:t>Broadcasting Public Notice CRTC 2008-100</w:t>
      </w:r>
      <w:r w:rsidR="004262DE">
        <w:rPr>
          <w:sz w:val="18"/>
          <w:szCs w:val="18"/>
        </w:rPr>
        <w:t xml:space="preserve">, </w:t>
      </w:r>
      <w:r w:rsidR="004262DE" w:rsidRPr="00C66190">
        <w:rPr>
          <w:i/>
          <w:sz w:val="18"/>
          <w:szCs w:val="18"/>
        </w:rPr>
        <w:t>Regulatory Policy - Regulatory frameworks for broadcasting distribution undertakings and discretionary programming services</w:t>
      </w:r>
      <w:r w:rsidR="004262DE">
        <w:rPr>
          <w:sz w:val="18"/>
          <w:szCs w:val="18"/>
        </w:rPr>
        <w:t>,</w:t>
      </w:r>
      <w:r w:rsidRPr="004262DE">
        <w:rPr>
          <w:sz w:val="18"/>
          <w:szCs w:val="18"/>
          <w:lang w:val="en-CA"/>
        </w:rPr>
        <w:t xml:space="preserve"> paragraphs 173</w:t>
      </w:r>
      <w:r w:rsidR="004262DE">
        <w:rPr>
          <w:sz w:val="18"/>
          <w:szCs w:val="18"/>
          <w:lang w:val="en-CA"/>
        </w:rPr>
        <w:t xml:space="preserve"> to </w:t>
      </w:r>
      <w:r w:rsidRPr="004262DE">
        <w:rPr>
          <w:sz w:val="18"/>
          <w:szCs w:val="18"/>
          <w:lang w:val="en-CA"/>
        </w:rPr>
        <w:t>176.</w:t>
      </w:r>
    </w:p>
  </w:footnote>
  <w:footnote w:id="18">
    <w:p w14:paraId="535C1FF2" w14:textId="364CCBEC" w:rsidR="00E35DB5" w:rsidRPr="004262DE" w:rsidRDefault="00E35DB5" w:rsidP="00193FA7">
      <w:pPr>
        <w:pStyle w:val="FootnoteText"/>
        <w:ind w:left="360" w:hanging="360"/>
        <w:jc w:val="both"/>
        <w:rPr>
          <w:sz w:val="18"/>
          <w:szCs w:val="18"/>
          <w:lang w:val="en-CA"/>
        </w:rPr>
      </w:pPr>
      <w:r w:rsidRPr="004262DE">
        <w:rPr>
          <w:rStyle w:val="FootnoteReference"/>
          <w:sz w:val="18"/>
          <w:szCs w:val="18"/>
        </w:rPr>
        <w:footnoteRef/>
      </w:r>
      <w:r w:rsidRPr="004262DE">
        <w:rPr>
          <w:sz w:val="18"/>
          <w:szCs w:val="18"/>
        </w:rPr>
        <w:t xml:space="preserve"> </w:t>
      </w:r>
      <w:r w:rsidR="00D924A0" w:rsidRPr="004262DE">
        <w:rPr>
          <w:sz w:val="18"/>
          <w:szCs w:val="18"/>
        </w:rPr>
        <w:tab/>
      </w:r>
      <w:r w:rsidRPr="004262DE">
        <w:rPr>
          <w:sz w:val="18"/>
          <w:szCs w:val="18"/>
          <w:lang w:val="en-CA"/>
        </w:rPr>
        <w:t>BRP 2012-94</w:t>
      </w:r>
      <w:r w:rsidR="004262DE">
        <w:rPr>
          <w:sz w:val="18"/>
          <w:szCs w:val="18"/>
          <w:lang w:val="en-CA"/>
        </w:rPr>
        <w:t>.</w:t>
      </w:r>
    </w:p>
  </w:footnote>
  <w:footnote w:id="19">
    <w:p w14:paraId="104270A4" w14:textId="7D76B365" w:rsidR="00E35DB5" w:rsidRPr="00C66190" w:rsidRDefault="00E35DB5" w:rsidP="00193FA7">
      <w:pPr>
        <w:pStyle w:val="FootnoteText"/>
        <w:ind w:left="360" w:hanging="360"/>
        <w:jc w:val="both"/>
        <w:rPr>
          <w:sz w:val="18"/>
          <w:szCs w:val="18"/>
          <w:lang w:val="en-CA"/>
        </w:rPr>
      </w:pPr>
      <w:r w:rsidRPr="004262DE">
        <w:rPr>
          <w:rStyle w:val="FootnoteReference"/>
          <w:sz w:val="18"/>
          <w:szCs w:val="18"/>
        </w:rPr>
        <w:footnoteRef/>
      </w:r>
      <w:r w:rsidRPr="00C66190">
        <w:rPr>
          <w:sz w:val="18"/>
          <w:szCs w:val="18"/>
          <w:lang w:val="en-CA"/>
        </w:rPr>
        <w:t xml:space="preserve"> </w:t>
      </w:r>
      <w:r w:rsidR="00D924A0" w:rsidRPr="00C66190">
        <w:rPr>
          <w:sz w:val="18"/>
          <w:szCs w:val="18"/>
          <w:lang w:val="en-CA"/>
        </w:rPr>
        <w:tab/>
      </w:r>
      <w:r w:rsidR="004262DE" w:rsidRPr="00C66190">
        <w:rPr>
          <w:sz w:val="18"/>
          <w:szCs w:val="18"/>
          <w:lang w:val="en-CA"/>
        </w:rPr>
        <w:t>Ibid.</w:t>
      </w:r>
      <w:r w:rsidRPr="00C66190">
        <w:rPr>
          <w:sz w:val="18"/>
          <w:szCs w:val="18"/>
          <w:lang w:val="en-CA"/>
        </w:rPr>
        <w:t>, paragraphs 22</w:t>
      </w:r>
      <w:r w:rsidR="004262DE">
        <w:rPr>
          <w:sz w:val="18"/>
          <w:szCs w:val="18"/>
          <w:lang w:val="en-CA"/>
        </w:rPr>
        <w:t xml:space="preserve"> to </w:t>
      </w:r>
      <w:r w:rsidRPr="00C66190">
        <w:rPr>
          <w:sz w:val="18"/>
          <w:szCs w:val="18"/>
          <w:lang w:val="en-CA"/>
        </w:rPr>
        <w:t>25.</w:t>
      </w:r>
    </w:p>
  </w:footnote>
  <w:footnote w:id="20">
    <w:p w14:paraId="5FE8025E" w14:textId="50D7C809" w:rsidR="00E35DB5" w:rsidRPr="00C66190" w:rsidRDefault="00E35DB5" w:rsidP="00193FA7">
      <w:pPr>
        <w:pStyle w:val="FootnoteText"/>
        <w:ind w:left="360" w:hanging="360"/>
        <w:jc w:val="both"/>
        <w:rPr>
          <w:sz w:val="18"/>
          <w:szCs w:val="18"/>
          <w:lang w:val="en-CA"/>
        </w:rPr>
      </w:pPr>
      <w:r w:rsidRPr="004262DE">
        <w:rPr>
          <w:rStyle w:val="FootnoteReference"/>
          <w:sz w:val="18"/>
          <w:szCs w:val="18"/>
        </w:rPr>
        <w:footnoteRef/>
      </w:r>
      <w:r w:rsidRPr="00C66190">
        <w:rPr>
          <w:sz w:val="18"/>
          <w:szCs w:val="18"/>
          <w:lang w:val="en-CA"/>
        </w:rPr>
        <w:t xml:space="preserve"> </w:t>
      </w:r>
      <w:r w:rsidR="00D924A0" w:rsidRPr="00C66190">
        <w:rPr>
          <w:sz w:val="18"/>
          <w:szCs w:val="18"/>
          <w:lang w:val="en-CA"/>
        </w:rPr>
        <w:tab/>
      </w:r>
      <w:r w:rsidR="0093565D">
        <w:rPr>
          <w:sz w:val="18"/>
          <w:szCs w:val="18"/>
          <w:lang w:val="en-CA"/>
        </w:rPr>
        <w:t>Ibid.</w:t>
      </w:r>
      <w:r w:rsidRPr="00C66190">
        <w:rPr>
          <w:sz w:val="18"/>
          <w:szCs w:val="18"/>
          <w:lang w:val="en-CA"/>
        </w:rPr>
        <w:t>, paragraph</w:t>
      </w:r>
      <w:r w:rsidR="000B147F">
        <w:rPr>
          <w:sz w:val="18"/>
          <w:szCs w:val="18"/>
          <w:lang w:val="en-CA"/>
        </w:rPr>
        <w:t>s</w:t>
      </w:r>
      <w:r w:rsidRPr="00C66190">
        <w:rPr>
          <w:sz w:val="18"/>
          <w:szCs w:val="18"/>
          <w:lang w:val="en-CA"/>
        </w:rPr>
        <w:t xml:space="preserve"> 22</w:t>
      </w:r>
      <w:r w:rsidR="0093565D">
        <w:rPr>
          <w:sz w:val="18"/>
          <w:szCs w:val="18"/>
          <w:lang w:val="en-CA"/>
        </w:rPr>
        <w:t xml:space="preserve"> to </w:t>
      </w:r>
      <w:r w:rsidR="000B147F">
        <w:rPr>
          <w:sz w:val="18"/>
          <w:szCs w:val="18"/>
          <w:lang w:val="en-CA"/>
        </w:rPr>
        <w:t>23</w:t>
      </w:r>
      <w:r w:rsidRPr="00C66190">
        <w:rPr>
          <w:sz w:val="18"/>
          <w:szCs w:val="18"/>
          <w:lang w:val="en-CA"/>
        </w:rPr>
        <w:t>.</w:t>
      </w:r>
    </w:p>
  </w:footnote>
  <w:footnote w:id="21">
    <w:p w14:paraId="0955525C" w14:textId="75B31FEB" w:rsidR="00E35DB5" w:rsidRPr="004262DE" w:rsidRDefault="00E35DB5" w:rsidP="00193FA7">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00D924A0" w:rsidRPr="004262DE">
        <w:rPr>
          <w:sz w:val="18"/>
          <w:szCs w:val="18"/>
        </w:rPr>
        <w:tab/>
      </w:r>
      <w:r w:rsidRPr="004262DE">
        <w:rPr>
          <w:sz w:val="18"/>
          <w:szCs w:val="18"/>
        </w:rPr>
        <w:t>Appendix to Broadcasting Order 2009-638, Description</w:t>
      </w:r>
      <w:r w:rsidR="0042652C" w:rsidRPr="004262DE">
        <w:rPr>
          <w:sz w:val="18"/>
          <w:szCs w:val="18"/>
        </w:rPr>
        <w:t>,</w:t>
      </w:r>
      <w:r w:rsidRPr="004262DE">
        <w:rPr>
          <w:sz w:val="18"/>
          <w:szCs w:val="18"/>
        </w:rPr>
        <w:t xml:space="preserve"> </w:t>
      </w:r>
      <w:r w:rsidR="0042652C" w:rsidRPr="004262DE">
        <w:rPr>
          <w:sz w:val="18"/>
          <w:szCs w:val="18"/>
        </w:rPr>
        <w:t>p</w:t>
      </w:r>
      <w:r w:rsidRPr="004262DE">
        <w:rPr>
          <w:sz w:val="18"/>
          <w:szCs w:val="18"/>
        </w:rPr>
        <w:t>aragraph 5.</w:t>
      </w:r>
    </w:p>
  </w:footnote>
  <w:footnote w:id="22">
    <w:p w14:paraId="14A7F8CF" w14:textId="77777777" w:rsidR="001C15BE" w:rsidRPr="004262DE" w:rsidRDefault="001C15BE" w:rsidP="001C15BE">
      <w:pPr>
        <w:pStyle w:val="FootnoteText"/>
        <w:ind w:left="360" w:hanging="360"/>
        <w:jc w:val="both"/>
        <w:rPr>
          <w:sz w:val="18"/>
          <w:szCs w:val="18"/>
        </w:rPr>
      </w:pPr>
      <w:r w:rsidRPr="004262DE">
        <w:rPr>
          <w:rStyle w:val="FootnoteReference"/>
          <w:sz w:val="18"/>
          <w:szCs w:val="18"/>
        </w:rPr>
        <w:footnoteRef/>
      </w:r>
      <w:r w:rsidRPr="004262DE">
        <w:rPr>
          <w:sz w:val="18"/>
          <w:szCs w:val="18"/>
        </w:rPr>
        <w:t xml:space="preserve"> </w:t>
      </w:r>
      <w:r w:rsidRPr="004262DE">
        <w:rPr>
          <w:sz w:val="18"/>
          <w:szCs w:val="18"/>
        </w:rPr>
        <w:tab/>
        <w:t xml:space="preserve">More specifically, we have not had a complaint </w:t>
      </w:r>
      <w:r w:rsidRPr="004262DE">
        <w:rPr>
          <w:rFonts w:cs="Arial"/>
          <w:sz w:val="18"/>
          <w:szCs w:val="18"/>
        </w:rPr>
        <w:t>since well</w:t>
      </w:r>
      <w:r>
        <w:rPr>
          <w:rFonts w:cs="Arial"/>
          <w:sz w:val="18"/>
          <w:szCs w:val="18"/>
        </w:rPr>
        <w:t>-</w:t>
      </w:r>
      <w:r w:rsidRPr="004262DE">
        <w:rPr>
          <w:rFonts w:cs="Arial"/>
          <w:sz w:val="18"/>
          <w:szCs w:val="18"/>
        </w:rPr>
        <w:t>before our licence renewal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1BA0D" w14:textId="00DA9684" w:rsidR="005A69F0" w:rsidRPr="00FA6A37" w:rsidRDefault="005A69F0" w:rsidP="005A69F0">
    <w:pPr>
      <w:tabs>
        <w:tab w:val="right" w:pos="9360"/>
      </w:tabs>
      <w:rPr>
        <w:rFonts w:cs="Arial"/>
      </w:rPr>
    </w:pPr>
    <w:r>
      <w:rPr>
        <w:rFonts w:cs="Arial"/>
        <w:lang w:val="en-CA"/>
      </w:rPr>
      <w:t>Bell ExpressVu</w:t>
    </w:r>
    <w:r>
      <w:rPr>
        <w:rFonts w:cs="Arial"/>
        <w:lang w:val="en-CA"/>
      </w:rPr>
      <w:tab/>
    </w:r>
    <w:r w:rsidR="001F15CE">
      <w:rPr>
        <w:rFonts w:cs="Arial"/>
        <w:lang w:val="en-CA"/>
      </w:rPr>
      <w:t>Abridged</w:t>
    </w:r>
  </w:p>
  <w:p w14:paraId="659B3D5E" w14:textId="036F03F2" w:rsidR="005A69F0" w:rsidRDefault="005A69F0" w:rsidP="005A69F0">
    <w:pPr>
      <w:tabs>
        <w:tab w:val="right" w:pos="9360"/>
      </w:tabs>
      <w:rPr>
        <w:rFonts w:cs="Arial"/>
      </w:rPr>
    </w:pPr>
    <w:r>
      <w:rPr>
        <w:rFonts w:cs="Arial"/>
        <w:lang w:val="en-CA"/>
      </w:rPr>
      <w:t>Part 1 Application – Amendment to SRDU Licence</w:t>
    </w:r>
    <w:r>
      <w:rPr>
        <w:rFonts w:cs="Arial"/>
        <w:lang w:val="en-CA"/>
      </w:rPr>
      <w:tab/>
    </w:r>
    <w:r w:rsidRPr="00FA6A37">
      <w:rPr>
        <w:rFonts w:cs="Arial"/>
      </w:rPr>
      <w:t xml:space="preserve">Page </w:t>
    </w:r>
    <w:r w:rsidRPr="00FA6A37">
      <w:rPr>
        <w:rFonts w:cs="Arial"/>
      </w:rPr>
      <w:fldChar w:fldCharType="begin"/>
    </w:r>
    <w:r w:rsidRPr="00FA6A37">
      <w:rPr>
        <w:rFonts w:cs="Arial"/>
      </w:rPr>
      <w:instrText xml:space="preserve"> PAGE </w:instrText>
    </w:r>
    <w:r w:rsidRPr="00FA6A37">
      <w:rPr>
        <w:rFonts w:cs="Arial"/>
      </w:rPr>
      <w:fldChar w:fldCharType="separate"/>
    </w:r>
    <w:r w:rsidR="00162BA6">
      <w:rPr>
        <w:rFonts w:cs="Arial"/>
        <w:noProof/>
      </w:rPr>
      <w:t>2</w:t>
    </w:r>
    <w:r w:rsidRPr="00FA6A37">
      <w:rPr>
        <w:rFonts w:cs="Arial"/>
      </w:rPr>
      <w:fldChar w:fldCharType="end"/>
    </w:r>
    <w:r w:rsidRPr="00FA6A37">
      <w:rPr>
        <w:rFonts w:cs="Arial"/>
      </w:rPr>
      <w:t xml:space="preserve"> of </w:t>
    </w:r>
    <w:r w:rsidRPr="00FA6A37">
      <w:rPr>
        <w:rFonts w:cs="Arial"/>
      </w:rPr>
      <w:fldChar w:fldCharType="begin"/>
    </w:r>
    <w:r w:rsidRPr="00FA6A37">
      <w:rPr>
        <w:rFonts w:cs="Arial"/>
      </w:rPr>
      <w:instrText xml:space="preserve"> NUMPAGES  </w:instrText>
    </w:r>
    <w:r w:rsidRPr="00FA6A37">
      <w:rPr>
        <w:rFonts w:cs="Arial"/>
      </w:rPr>
      <w:fldChar w:fldCharType="separate"/>
    </w:r>
    <w:r w:rsidR="00162BA6">
      <w:rPr>
        <w:rFonts w:cs="Arial"/>
        <w:noProof/>
      </w:rPr>
      <w:t>11</w:t>
    </w:r>
    <w:r w:rsidRPr="00FA6A37">
      <w:rPr>
        <w:rFonts w:cs="Arial"/>
      </w:rPr>
      <w:fldChar w:fldCharType="end"/>
    </w:r>
  </w:p>
  <w:p w14:paraId="165A83C9" w14:textId="28A53F00" w:rsidR="00A77E8C" w:rsidRPr="00FA6A37" w:rsidRDefault="00A77E8C" w:rsidP="00162BA6">
    <w:pPr>
      <w:tabs>
        <w:tab w:val="right" w:pos="9360"/>
      </w:tabs>
      <w:jc w:val="right"/>
      <w:rPr>
        <w:rFonts w:cs="Arial"/>
        <w:lang w:val="en-CA"/>
      </w:rPr>
    </w:pPr>
    <w:r>
      <w:rPr>
        <w:rFonts w:cs="Arial"/>
      </w:rPr>
      <w:t>Revised</w:t>
    </w:r>
  </w:p>
  <w:p w14:paraId="0F8E2547" w14:textId="77777777" w:rsidR="005A69F0" w:rsidRPr="00FA6A37" w:rsidRDefault="005A69F0" w:rsidP="005A69F0">
    <w:pPr>
      <w:pStyle w:val="Header"/>
      <w:rPr>
        <w:rFonts w:cs="Arial"/>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7CA97" w14:textId="77777777" w:rsidR="00E173C5" w:rsidRDefault="00E17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CFF62" w14:textId="77777777" w:rsidR="001F15CE" w:rsidRPr="00FA6A37" w:rsidRDefault="001F15CE" w:rsidP="001F15CE">
    <w:pPr>
      <w:tabs>
        <w:tab w:val="right" w:pos="9360"/>
      </w:tabs>
      <w:rPr>
        <w:rFonts w:cs="Arial"/>
      </w:rPr>
    </w:pPr>
    <w:r>
      <w:rPr>
        <w:rFonts w:cs="Arial"/>
        <w:lang w:val="en-CA"/>
      </w:rPr>
      <w:t>Bell ExpressVu</w:t>
    </w:r>
    <w:r>
      <w:rPr>
        <w:rFonts w:cs="Arial"/>
        <w:lang w:val="en-CA"/>
      </w:rPr>
      <w:tab/>
      <w:t>Abridged</w:t>
    </w:r>
  </w:p>
  <w:p w14:paraId="6A7E4145" w14:textId="3B874797" w:rsidR="001F15CE" w:rsidRDefault="001F15CE" w:rsidP="001F15CE">
    <w:pPr>
      <w:tabs>
        <w:tab w:val="right" w:pos="9360"/>
      </w:tabs>
      <w:rPr>
        <w:rFonts w:cs="Arial"/>
      </w:rPr>
    </w:pPr>
    <w:r>
      <w:rPr>
        <w:rFonts w:cs="Arial"/>
        <w:lang w:val="en-CA"/>
      </w:rPr>
      <w:t>Part 1 Application – Amendment to SRDU Licence</w:t>
    </w:r>
    <w:r>
      <w:rPr>
        <w:rFonts w:cs="Arial"/>
        <w:lang w:val="en-CA"/>
      </w:rPr>
      <w:tab/>
    </w:r>
    <w:r w:rsidRPr="00FA6A37">
      <w:rPr>
        <w:rFonts w:cs="Arial"/>
      </w:rPr>
      <w:t xml:space="preserve">Page </w:t>
    </w:r>
    <w:r w:rsidRPr="00FA6A37">
      <w:rPr>
        <w:rFonts w:cs="Arial"/>
      </w:rPr>
      <w:fldChar w:fldCharType="begin"/>
    </w:r>
    <w:r w:rsidRPr="00FA6A37">
      <w:rPr>
        <w:rFonts w:cs="Arial"/>
      </w:rPr>
      <w:instrText xml:space="preserve"> PAGE </w:instrText>
    </w:r>
    <w:r w:rsidRPr="00FA6A37">
      <w:rPr>
        <w:rFonts w:cs="Arial"/>
      </w:rPr>
      <w:fldChar w:fldCharType="separate"/>
    </w:r>
    <w:r w:rsidR="00162BA6">
      <w:rPr>
        <w:rFonts w:cs="Arial"/>
        <w:noProof/>
      </w:rPr>
      <w:t>10</w:t>
    </w:r>
    <w:r w:rsidRPr="00FA6A37">
      <w:rPr>
        <w:rFonts w:cs="Arial"/>
      </w:rPr>
      <w:fldChar w:fldCharType="end"/>
    </w:r>
    <w:r w:rsidRPr="00FA6A37">
      <w:rPr>
        <w:rFonts w:cs="Arial"/>
      </w:rPr>
      <w:t xml:space="preserve"> of </w:t>
    </w:r>
    <w:r w:rsidRPr="00FA6A37">
      <w:rPr>
        <w:rFonts w:cs="Arial"/>
      </w:rPr>
      <w:fldChar w:fldCharType="begin"/>
    </w:r>
    <w:r w:rsidRPr="00FA6A37">
      <w:rPr>
        <w:rFonts w:cs="Arial"/>
      </w:rPr>
      <w:instrText xml:space="preserve"> NUMPAGES  </w:instrText>
    </w:r>
    <w:r w:rsidRPr="00FA6A37">
      <w:rPr>
        <w:rFonts w:cs="Arial"/>
      </w:rPr>
      <w:fldChar w:fldCharType="separate"/>
    </w:r>
    <w:r w:rsidR="00162BA6">
      <w:rPr>
        <w:rFonts w:cs="Arial"/>
        <w:noProof/>
      </w:rPr>
      <w:t>11</w:t>
    </w:r>
    <w:r w:rsidRPr="00FA6A37">
      <w:rPr>
        <w:rFonts w:cs="Arial"/>
      </w:rPr>
      <w:fldChar w:fldCharType="end"/>
    </w:r>
  </w:p>
  <w:p w14:paraId="688FC21C" w14:textId="5BFE52DB" w:rsidR="00A77E8C" w:rsidRPr="00FA6A37" w:rsidRDefault="00A77E8C" w:rsidP="00162BA6">
    <w:pPr>
      <w:tabs>
        <w:tab w:val="right" w:pos="9360"/>
      </w:tabs>
      <w:jc w:val="right"/>
      <w:rPr>
        <w:rFonts w:cs="Arial"/>
        <w:lang w:val="en-CA"/>
      </w:rPr>
    </w:pPr>
    <w:r>
      <w:rPr>
        <w:rFonts w:cs="Arial"/>
      </w:rPr>
      <w:t>Revised</w:t>
    </w:r>
  </w:p>
  <w:p w14:paraId="089AD8C6" w14:textId="77777777" w:rsidR="001F15CE" w:rsidRPr="00FA6A37" w:rsidRDefault="001F15CE" w:rsidP="001F15CE">
    <w:pPr>
      <w:pStyle w:val="Header"/>
      <w:rPr>
        <w:rFonts w:cs="Arial"/>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508EC" w14:textId="77777777" w:rsidR="00E173C5" w:rsidRDefault="00E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F16E6"/>
    <w:multiLevelType w:val="multilevel"/>
    <w:tmpl w:val="0CF6B50A"/>
    <w:lvl w:ilvl="0">
      <w:start w:val="1"/>
      <w:numFmt w:val="decimal"/>
      <w:pStyle w:val="Heading1"/>
      <w:lvlText w:val="%1.0"/>
      <w:lvlJc w:val="left"/>
      <w:pPr>
        <w:tabs>
          <w:tab w:val="num" w:pos="720"/>
        </w:tabs>
        <w:ind w:left="720" w:hanging="720"/>
      </w:pPr>
      <w:rPr>
        <w:rFonts w:ascii="Arial" w:hAnsi="Arial" w:hint="default"/>
        <w:b/>
        <w:i w:val="0"/>
        <w:color w:val="auto"/>
        <w:sz w:val="22"/>
        <w:szCs w:val="22"/>
        <w:u w:val="none"/>
      </w:rPr>
    </w:lvl>
    <w:lvl w:ilvl="1">
      <w:start w:val="1"/>
      <w:numFmt w:val="decimal"/>
      <w:pStyle w:val="Heading2"/>
      <w:lvlText w:val="%1.%2"/>
      <w:lvlJc w:val="left"/>
      <w:pPr>
        <w:tabs>
          <w:tab w:val="num" w:pos="720"/>
        </w:tabs>
        <w:ind w:left="720" w:hanging="720"/>
      </w:pPr>
      <w:rPr>
        <w:rFonts w:ascii="Arial" w:hAnsi="Arial" w:hint="default"/>
        <w:b/>
        <w:i w:val="0"/>
        <w:color w:val="auto"/>
        <w:sz w:val="22"/>
        <w:szCs w:val="22"/>
        <w:u w:val="none"/>
      </w:rPr>
    </w:lvl>
    <w:lvl w:ilvl="2">
      <w:start w:val="1"/>
      <w:numFmt w:val="decimal"/>
      <w:pStyle w:val="Heading3"/>
      <w:lvlText w:val="%1.%2.%3"/>
      <w:lvlJc w:val="left"/>
      <w:pPr>
        <w:tabs>
          <w:tab w:val="num" w:pos="720"/>
        </w:tabs>
        <w:ind w:left="720" w:hanging="720"/>
      </w:pPr>
      <w:rPr>
        <w:rFonts w:ascii="Arial" w:hAnsi="Arial" w:hint="default"/>
        <w:b/>
        <w:i w:val="0"/>
        <w:caps w:val="0"/>
        <w:strike w:val="0"/>
        <w:dstrike w:val="0"/>
        <w:outline w:val="0"/>
        <w:shadow w:val="0"/>
        <w:emboss w:val="0"/>
        <w:imprint w:val="0"/>
        <w:vanish w:val="0"/>
        <w:kern w:val="0"/>
        <w:sz w:val="22"/>
        <w:szCs w:val="22"/>
        <w:u w:val="none"/>
        <w:vertAlign w:val="baseline"/>
      </w:rPr>
    </w:lvl>
    <w:lvl w:ilvl="3">
      <w:start w:val="1"/>
      <w:numFmt w:val="decimal"/>
      <w:pStyle w:val="Heading4"/>
      <w:lvlText w:val="%1.%2.%3.%4"/>
      <w:lvlJc w:val="left"/>
      <w:pPr>
        <w:tabs>
          <w:tab w:val="num" w:pos="0"/>
        </w:tabs>
        <w:ind w:left="0" w:firstLine="0"/>
      </w:pPr>
      <w:rPr>
        <w:rFonts w:ascii="Arial" w:hAnsi="Arial" w:hint="default"/>
        <w:b/>
        <w:i w:val="0"/>
        <w:caps w:val="0"/>
        <w:strike w:val="0"/>
        <w:dstrike w:val="0"/>
        <w:outline w:val="0"/>
        <w:shadow w:val="0"/>
        <w:emboss w:val="0"/>
        <w:imprint w:val="0"/>
        <w:vanish w:val="0"/>
        <w:sz w:val="22"/>
        <w:szCs w:val="22"/>
        <w:u w:val="none"/>
        <w:vertAlign w:val="baseline"/>
      </w:rPr>
    </w:lvl>
    <w:lvl w:ilvl="4">
      <w:start w:val="1"/>
      <w:numFmt w:val="decimal"/>
      <w:pStyle w:val="Heading5"/>
      <w:lvlText w:val="%1.%2.%3.%4.%5"/>
      <w:lvlJc w:val="left"/>
      <w:pPr>
        <w:tabs>
          <w:tab w:val="num" w:pos="0"/>
        </w:tabs>
        <w:ind w:left="0" w:firstLine="0"/>
      </w:pPr>
      <w:rPr>
        <w:rFonts w:ascii="Arial" w:hAnsi="Arial" w:hint="default"/>
        <w:b/>
        <w:i w:val="0"/>
        <w:caps w:val="0"/>
        <w:strike w:val="0"/>
        <w:dstrike w:val="0"/>
        <w:outline w:val="0"/>
        <w:shadow w:val="0"/>
        <w:emboss w:val="0"/>
        <w:imprint w:val="0"/>
        <w:vanish w:val="0"/>
        <w:sz w:val="22"/>
        <w:szCs w:val="22"/>
        <w:u w:val="none"/>
        <w:vertAlign w:val="baseline"/>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145D625B"/>
    <w:multiLevelType w:val="multilevel"/>
    <w:tmpl w:val="0D2CC660"/>
    <w:lvl w:ilvl="0">
      <w:start w:val="1"/>
      <w:numFmt w:val="decimal"/>
      <w:lvlText w:val="%1."/>
      <w:lvlJc w:val="left"/>
      <w:pPr>
        <w:tabs>
          <w:tab w:val="num" w:pos="720"/>
        </w:tabs>
        <w:ind w:left="0" w:firstLine="0"/>
      </w:pPr>
      <w:rPr>
        <w:rFonts w:ascii="Arial" w:hAnsi="Arial" w:hint="default"/>
        <w:b w:val="0"/>
        <w:i w:val="0"/>
        <w:sz w:val="18"/>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15:restartNumberingAfterBreak="0">
    <w:nsid w:val="697D31C6"/>
    <w:multiLevelType w:val="hybridMultilevel"/>
    <w:tmpl w:val="3B1605B8"/>
    <w:lvl w:ilvl="0" w:tplc="0D7819FC">
      <w:start w:val="1"/>
      <w:numFmt w:val="decimal"/>
      <w:lvlText w:val="%1."/>
      <w:lvlJc w:val="left"/>
      <w:pPr>
        <w:tabs>
          <w:tab w:val="num" w:pos="720"/>
        </w:tabs>
        <w:ind w:left="0" w:firstLine="0"/>
      </w:pPr>
      <w:rPr>
        <w:rFonts w:ascii="Arial" w:hAnsi="Arial" w:cs="Times New Roman" w:hint="default"/>
        <w:b w:val="0"/>
        <w:i w:val="0"/>
        <w:sz w:val="18"/>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790C21B2"/>
    <w:multiLevelType w:val="hybridMultilevel"/>
    <w:tmpl w:val="CA2C80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509492822">
    <w:abstractNumId w:val="1"/>
  </w:num>
  <w:num w:numId="2" w16cid:durableId="2110272910">
    <w:abstractNumId w:val="0"/>
  </w:num>
  <w:num w:numId="3" w16cid:durableId="257326604">
    <w:abstractNumId w:val="2"/>
  </w:num>
  <w:num w:numId="4" w16cid:durableId="1256282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F7"/>
    <w:rsid w:val="000153A0"/>
    <w:rsid w:val="00017121"/>
    <w:rsid w:val="00030F5F"/>
    <w:rsid w:val="0004260D"/>
    <w:rsid w:val="000913DF"/>
    <w:rsid w:val="000A344A"/>
    <w:rsid w:val="000B147F"/>
    <w:rsid w:val="00111C70"/>
    <w:rsid w:val="00162BA6"/>
    <w:rsid w:val="00193FA7"/>
    <w:rsid w:val="001A4539"/>
    <w:rsid w:val="001B27DC"/>
    <w:rsid w:val="001C15BE"/>
    <w:rsid w:val="001F15CE"/>
    <w:rsid w:val="00220D5F"/>
    <w:rsid w:val="00291B18"/>
    <w:rsid w:val="002C18C0"/>
    <w:rsid w:val="002D4795"/>
    <w:rsid w:val="002F2528"/>
    <w:rsid w:val="0031634D"/>
    <w:rsid w:val="0032631E"/>
    <w:rsid w:val="00341FDA"/>
    <w:rsid w:val="00376407"/>
    <w:rsid w:val="003830F7"/>
    <w:rsid w:val="00391D75"/>
    <w:rsid w:val="003B4869"/>
    <w:rsid w:val="003F154B"/>
    <w:rsid w:val="004262DE"/>
    <w:rsid w:val="0042652C"/>
    <w:rsid w:val="00431F68"/>
    <w:rsid w:val="00432C0D"/>
    <w:rsid w:val="00437122"/>
    <w:rsid w:val="00463D5A"/>
    <w:rsid w:val="004A58D5"/>
    <w:rsid w:val="004A71C0"/>
    <w:rsid w:val="004B4687"/>
    <w:rsid w:val="004F3A3F"/>
    <w:rsid w:val="00523268"/>
    <w:rsid w:val="005544F0"/>
    <w:rsid w:val="005579FD"/>
    <w:rsid w:val="00571AA0"/>
    <w:rsid w:val="00583C13"/>
    <w:rsid w:val="005A356B"/>
    <w:rsid w:val="005A69F0"/>
    <w:rsid w:val="005C534C"/>
    <w:rsid w:val="005D1EE5"/>
    <w:rsid w:val="005F6971"/>
    <w:rsid w:val="00661EC9"/>
    <w:rsid w:val="0068192E"/>
    <w:rsid w:val="00695107"/>
    <w:rsid w:val="006A63CE"/>
    <w:rsid w:val="007110E3"/>
    <w:rsid w:val="00721312"/>
    <w:rsid w:val="0075047F"/>
    <w:rsid w:val="007718BB"/>
    <w:rsid w:val="007C15AC"/>
    <w:rsid w:val="007E286D"/>
    <w:rsid w:val="007F5694"/>
    <w:rsid w:val="007F56CA"/>
    <w:rsid w:val="00843384"/>
    <w:rsid w:val="008853A6"/>
    <w:rsid w:val="00891076"/>
    <w:rsid w:val="008B713D"/>
    <w:rsid w:val="008E4AB3"/>
    <w:rsid w:val="00900174"/>
    <w:rsid w:val="00910A07"/>
    <w:rsid w:val="009145CE"/>
    <w:rsid w:val="0093565D"/>
    <w:rsid w:val="009648E5"/>
    <w:rsid w:val="0098277A"/>
    <w:rsid w:val="009864AB"/>
    <w:rsid w:val="00996E5E"/>
    <w:rsid w:val="009E562D"/>
    <w:rsid w:val="00A04833"/>
    <w:rsid w:val="00A0507E"/>
    <w:rsid w:val="00A227D9"/>
    <w:rsid w:val="00A31334"/>
    <w:rsid w:val="00A41770"/>
    <w:rsid w:val="00A510B7"/>
    <w:rsid w:val="00A676FB"/>
    <w:rsid w:val="00A715EF"/>
    <w:rsid w:val="00A77E8C"/>
    <w:rsid w:val="00AA324E"/>
    <w:rsid w:val="00B41BFF"/>
    <w:rsid w:val="00B47DE5"/>
    <w:rsid w:val="00B55530"/>
    <w:rsid w:val="00B66ECF"/>
    <w:rsid w:val="00B71FE6"/>
    <w:rsid w:val="00B941EF"/>
    <w:rsid w:val="00BF186D"/>
    <w:rsid w:val="00C120FB"/>
    <w:rsid w:val="00C37E5F"/>
    <w:rsid w:val="00C531E6"/>
    <w:rsid w:val="00C66190"/>
    <w:rsid w:val="00C855F0"/>
    <w:rsid w:val="00CB302F"/>
    <w:rsid w:val="00CC0CBB"/>
    <w:rsid w:val="00CD0CF9"/>
    <w:rsid w:val="00CF0113"/>
    <w:rsid w:val="00CF34DF"/>
    <w:rsid w:val="00D27E5F"/>
    <w:rsid w:val="00D3171F"/>
    <w:rsid w:val="00D334FB"/>
    <w:rsid w:val="00D36AAC"/>
    <w:rsid w:val="00D674B2"/>
    <w:rsid w:val="00D924A0"/>
    <w:rsid w:val="00D93716"/>
    <w:rsid w:val="00DA1C1E"/>
    <w:rsid w:val="00DF088C"/>
    <w:rsid w:val="00E173C5"/>
    <w:rsid w:val="00E32623"/>
    <w:rsid w:val="00E35DB5"/>
    <w:rsid w:val="00EC0718"/>
    <w:rsid w:val="00EC25E3"/>
    <w:rsid w:val="00EF2457"/>
    <w:rsid w:val="00F317AF"/>
    <w:rsid w:val="00F52167"/>
    <w:rsid w:val="00F572C7"/>
    <w:rsid w:val="00F61516"/>
    <w:rsid w:val="00F66D8C"/>
    <w:rsid w:val="00F82BF3"/>
    <w:rsid w:val="00FC6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5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4E"/>
    <w:pPr>
      <w:widowControl w:val="0"/>
      <w:tabs>
        <w:tab w:val="left" w:pos="720"/>
      </w:tabs>
      <w:spacing w:after="0" w:line="240" w:lineRule="auto"/>
    </w:pPr>
    <w:rPr>
      <w:rFonts w:ascii="Arial" w:eastAsia="Times New Roman" w:hAnsi="Arial" w:cs="Times New Roman"/>
      <w:szCs w:val="20"/>
      <w:lang w:val="en-US" w:eastAsia="en-CA"/>
    </w:rPr>
  </w:style>
  <w:style w:type="paragraph" w:styleId="Heading1">
    <w:name w:val="heading 1"/>
    <w:basedOn w:val="Normal"/>
    <w:next w:val="Normal"/>
    <w:link w:val="Heading1Char"/>
    <w:autoRedefine/>
    <w:qFormat/>
    <w:rsid w:val="008853A6"/>
    <w:pPr>
      <w:keepNext/>
      <w:numPr>
        <w:numId w:val="2"/>
      </w:numPr>
      <w:tabs>
        <w:tab w:val="clear" w:pos="720"/>
      </w:tabs>
      <w:jc w:val="both"/>
      <w:outlineLvl w:val="0"/>
    </w:pPr>
    <w:rPr>
      <w:b/>
      <w:caps/>
      <w:u w:val="single"/>
    </w:rPr>
  </w:style>
  <w:style w:type="paragraph" w:styleId="Heading2">
    <w:name w:val="heading 2"/>
    <w:basedOn w:val="Normal"/>
    <w:next w:val="Normal"/>
    <w:link w:val="Heading2Char"/>
    <w:autoRedefine/>
    <w:qFormat/>
    <w:rsid w:val="00F61516"/>
    <w:pPr>
      <w:keepNext/>
      <w:widowControl/>
      <w:numPr>
        <w:ilvl w:val="1"/>
        <w:numId w:val="2"/>
      </w:numPr>
      <w:tabs>
        <w:tab w:val="clear" w:pos="720"/>
      </w:tabs>
      <w:jc w:val="both"/>
      <w:outlineLvl w:val="1"/>
    </w:pPr>
    <w:rPr>
      <w:b/>
      <w:u w:val="single"/>
    </w:rPr>
  </w:style>
  <w:style w:type="paragraph" w:styleId="Heading3">
    <w:name w:val="heading 3"/>
    <w:basedOn w:val="Normal"/>
    <w:next w:val="Normal"/>
    <w:link w:val="Heading3Char"/>
    <w:autoRedefine/>
    <w:qFormat/>
    <w:rsid w:val="00AA324E"/>
    <w:pPr>
      <w:keepNext/>
      <w:numPr>
        <w:ilvl w:val="2"/>
        <w:numId w:val="2"/>
      </w:numPr>
      <w:tabs>
        <w:tab w:val="clear" w:pos="720"/>
      </w:tabs>
      <w:outlineLvl w:val="2"/>
    </w:pPr>
    <w:rPr>
      <w:b/>
      <w:u w:val="single"/>
    </w:rPr>
  </w:style>
  <w:style w:type="paragraph" w:styleId="Heading4">
    <w:name w:val="heading 4"/>
    <w:basedOn w:val="Normal"/>
    <w:next w:val="Normal"/>
    <w:link w:val="Heading4Char"/>
    <w:autoRedefine/>
    <w:qFormat/>
    <w:rsid w:val="00AA324E"/>
    <w:pPr>
      <w:keepNext/>
      <w:numPr>
        <w:ilvl w:val="3"/>
        <w:numId w:val="2"/>
      </w:numPr>
      <w:tabs>
        <w:tab w:val="clear" w:pos="720"/>
      </w:tabs>
      <w:outlineLvl w:val="3"/>
    </w:pPr>
    <w:rPr>
      <w:b/>
      <w:u w:val="single"/>
    </w:rPr>
  </w:style>
  <w:style w:type="paragraph" w:styleId="Heading5">
    <w:name w:val="heading 5"/>
    <w:basedOn w:val="Normal"/>
    <w:next w:val="Normal"/>
    <w:link w:val="Heading5Char"/>
    <w:autoRedefine/>
    <w:qFormat/>
    <w:rsid w:val="00AA324E"/>
    <w:pPr>
      <w:keepNext/>
      <w:numPr>
        <w:ilvl w:val="4"/>
        <w:numId w:val="2"/>
      </w:numPr>
      <w:tabs>
        <w:tab w:val="clear" w:pos="720"/>
      </w:tabs>
      <w:outlineLvl w:val="4"/>
    </w:pPr>
    <w:rPr>
      <w:b/>
      <w:u w:val="single"/>
    </w:rPr>
  </w:style>
  <w:style w:type="paragraph" w:styleId="Heading6">
    <w:name w:val="heading 6"/>
    <w:basedOn w:val="Normal"/>
    <w:next w:val="Normal"/>
    <w:link w:val="Heading6Char"/>
    <w:qFormat/>
    <w:rsid w:val="00AA324E"/>
    <w:pPr>
      <w:numPr>
        <w:ilvl w:val="5"/>
        <w:numId w:val="2"/>
      </w:numPr>
      <w:tabs>
        <w:tab w:val="clear" w:pos="720"/>
      </w:tabs>
      <w:spacing w:before="240" w:after="60"/>
      <w:outlineLvl w:val="5"/>
    </w:pPr>
    <w:rPr>
      <w:rFonts w:ascii="Times New Roman" w:hAnsi="Times New Roman"/>
      <w:i/>
    </w:rPr>
  </w:style>
  <w:style w:type="paragraph" w:styleId="Heading7">
    <w:name w:val="heading 7"/>
    <w:basedOn w:val="Normal"/>
    <w:next w:val="Normal"/>
    <w:link w:val="Heading7Char"/>
    <w:qFormat/>
    <w:rsid w:val="00AA324E"/>
    <w:pPr>
      <w:numPr>
        <w:ilvl w:val="6"/>
        <w:numId w:val="2"/>
      </w:numPr>
      <w:tabs>
        <w:tab w:val="clear" w:pos="720"/>
      </w:tabs>
      <w:spacing w:before="240" w:after="60"/>
      <w:outlineLvl w:val="6"/>
    </w:pPr>
    <w:rPr>
      <w:sz w:val="20"/>
    </w:rPr>
  </w:style>
  <w:style w:type="paragraph" w:styleId="Heading8">
    <w:name w:val="heading 8"/>
    <w:basedOn w:val="Normal"/>
    <w:next w:val="Normal"/>
    <w:link w:val="Heading8Char"/>
    <w:qFormat/>
    <w:rsid w:val="00AA324E"/>
    <w:pPr>
      <w:numPr>
        <w:ilvl w:val="7"/>
        <w:numId w:val="2"/>
      </w:numPr>
      <w:tabs>
        <w:tab w:val="clear" w:pos="720"/>
      </w:tabs>
      <w:spacing w:before="240" w:after="60"/>
      <w:outlineLvl w:val="7"/>
    </w:pPr>
    <w:rPr>
      <w:i/>
      <w:sz w:val="20"/>
    </w:rPr>
  </w:style>
  <w:style w:type="paragraph" w:styleId="Heading9">
    <w:name w:val="heading 9"/>
    <w:basedOn w:val="Normal"/>
    <w:next w:val="Normal"/>
    <w:link w:val="Heading9Char"/>
    <w:qFormat/>
    <w:rsid w:val="00AA324E"/>
    <w:pPr>
      <w:numPr>
        <w:ilvl w:val="8"/>
        <w:numId w:val="2"/>
      </w:numPr>
      <w:tabs>
        <w:tab w:val="clear" w:pos="72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3A6"/>
    <w:rPr>
      <w:rFonts w:ascii="Arial" w:eastAsia="Times New Roman" w:hAnsi="Arial" w:cs="Times New Roman"/>
      <w:b/>
      <w:caps/>
      <w:szCs w:val="20"/>
      <w:u w:val="single"/>
      <w:lang w:val="en-US" w:eastAsia="en-CA"/>
    </w:rPr>
  </w:style>
  <w:style w:type="character" w:customStyle="1" w:styleId="Heading2Char">
    <w:name w:val="Heading 2 Char"/>
    <w:basedOn w:val="DefaultParagraphFont"/>
    <w:link w:val="Heading2"/>
    <w:rsid w:val="00F61516"/>
    <w:rPr>
      <w:rFonts w:ascii="Arial" w:eastAsia="Times New Roman" w:hAnsi="Arial" w:cs="Times New Roman"/>
      <w:b/>
      <w:szCs w:val="20"/>
      <w:u w:val="single"/>
      <w:lang w:val="en-US" w:eastAsia="en-CA"/>
    </w:rPr>
  </w:style>
  <w:style w:type="character" w:customStyle="1" w:styleId="Heading3Char">
    <w:name w:val="Heading 3 Char"/>
    <w:basedOn w:val="DefaultParagraphFont"/>
    <w:link w:val="Heading3"/>
    <w:rsid w:val="00AA324E"/>
    <w:rPr>
      <w:rFonts w:ascii="Arial" w:eastAsia="Times New Roman" w:hAnsi="Arial" w:cs="Times New Roman"/>
      <w:b/>
      <w:szCs w:val="20"/>
      <w:u w:val="single"/>
      <w:lang w:val="en-US" w:eastAsia="en-CA"/>
    </w:rPr>
  </w:style>
  <w:style w:type="character" w:customStyle="1" w:styleId="Heading4Char">
    <w:name w:val="Heading 4 Char"/>
    <w:basedOn w:val="DefaultParagraphFont"/>
    <w:link w:val="Heading4"/>
    <w:rsid w:val="00AA324E"/>
    <w:rPr>
      <w:rFonts w:ascii="Arial" w:eastAsia="Times New Roman" w:hAnsi="Arial" w:cs="Times New Roman"/>
      <w:b/>
      <w:szCs w:val="20"/>
      <w:u w:val="single"/>
      <w:lang w:val="en-US" w:eastAsia="en-CA"/>
    </w:rPr>
  </w:style>
  <w:style w:type="character" w:customStyle="1" w:styleId="Heading5Char">
    <w:name w:val="Heading 5 Char"/>
    <w:basedOn w:val="DefaultParagraphFont"/>
    <w:link w:val="Heading5"/>
    <w:rsid w:val="00AA324E"/>
    <w:rPr>
      <w:rFonts w:ascii="Arial" w:eastAsia="Times New Roman" w:hAnsi="Arial" w:cs="Times New Roman"/>
      <w:b/>
      <w:szCs w:val="20"/>
      <w:u w:val="single"/>
      <w:lang w:val="en-US" w:eastAsia="en-CA"/>
    </w:rPr>
  </w:style>
  <w:style w:type="character" w:customStyle="1" w:styleId="Heading6Char">
    <w:name w:val="Heading 6 Char"/>
    <w:basedOn w:val="DefaultParagraphFont"/>
    <w:link w:val="Heading6"/>
    <w:rsid w:val="00AA324E"/>
    <w:rPr>
      <w:rFonts w:ascii="Times New Roman" w:eastAsia="Times New Roman" w:hAnsi="Times New Roman" w:cs="Times New Roman"/>
      <w:i/>
      <w:szCs w:val="20"/>
      <w:lang w:val="en-US" w:eastAsia="en-CA"/>
    </w:rPr>
  </w:style>
  <w:style w:type="character" w:customStyle="1" w:styleId="Heading7Char">
    <w:name w:val="Heading 7 Char"/>
    <w:basedOn w:val="DefaultParagraphFont"/>
    <w:link w:val="Heading7"/>
    <w:rsid w:val="00AA324E"/>
    <w:rPr>
      <w:rFonts w:ascii="Arial" w:eastAsia="Times New Roman" w:hAnsi="Arial" w:cs="Times New Roman"/>
      <w:sz w:val="20"/>
      <w:szCs w:val="20"/>
      <w:lang w:val="en-US" w:eastAsia="en-CA"/>
    </w:rPr>
  </w:style>
  <w:style w:type="character" w:customStyle="1" w:styleId="Heading8Char">
    <w:name w:val="Heading 8 Char"/>
    <w:basedOn w:val="DefaultParagraphFont"/>
    <w:link w:val="Heading8"/>
    <w:rsid w:val="00AA324E"/>
    <w:rPr>
      <w:rFonts w:ascii="Arial" w:eastAsia="Times New Roman" w:hAnsi="Arial" w:cs="Times New Roman"/>
      <w:i/>
      <w:sz w:val="20"/>
      <w:szCs w:val="20"/>
      <w:lang w:val="en-US" w:eastAsia="en-CA"/>
    </w:rPr>
  </w:style>
  <w:style w:type="character" w:customStyle="1" w:styleId="Heading9Char">
    <w:name w:val="Heading 9 Char"/>
    <w:basedOn w:val="DefaultParagraphFont"/>
    <w:link w:val="Heading9"/>
    <w:rsid w:val="00AA324E"/>
    <w:rPr>
      <w:rFonts w:ascii="Arial" w:eastAsia="Times New Roman" w:hAnsi="Arial" w:cs="Times New Roman"/>
      <w:b/>
      <w:i/>
      <w:sz w:val="18"/>
      <w:szCs w:val="20"/>
      <w:lang w:val="en-US" w:eastAsia="en-CA"/>
    </w:rPr>
  </w:style>
  <w:style w:type="paragraph" w:styleId="Header">
    <w:name w:val="header"/>
    <w:basedOn w:val="Normal"/>
    <w:link w:val="HeaderChar"/>
    <w:uiPriority w:val="99"/>
    <w:unhideWhenUsed/>
    <w:rsid w:val="00AA324E"/>
    <w:pPr>
      <w:tabs>
        <w:tab w:val="clear" w:pos="720"/>
        <w:tab w:val="center" w:pos="4680"/>
        <w:tab w:val="right" w:pos="9360"/>
      </w:tabs>
    </w:pPr>
  </w:style>
  <w:style w:type="character" w:customStyle="1" w:styleId="HeaderChar">
    <w:name w:val="Header Char"/>
    <w:basedOn w:val="DefaultParagraphFont"/>
    <w:link w:val="Header"/>
    <w:uiPriority w:val="99"/>
    <w:rsid w:val="00AA324E"/>
    <w:rPr>
      <w:rFonts w:ascii="Arial" w:eastAsia="Times New Roman" w:hAnsi="Arial" w:cs="Times New Roman"/>
      <w:szCs w:val="20"/>
      <w:lang w:val="en-US" w:eastAsia="en-CA"/>
    </w:rPr>
  </w:style>
  <w:style w:type="paragraph" w:styleId="Footer">
    <w:name w:val="footer"/>
    <w:basedOn w:val="Normal"/>
    <w:link w:val="FooterChar"/>
    <w:unhideWhenUsed/>
    <w:rsid w:val="00AA324E"/>
    <w:pPr>
      <w:tabs>
        <w:tab w:val="clear" w:pos="720"/>
        <w:tab w:val="center" w:pos="4680"/>
        <w:tab w:val="right" w:pos="9360"/>
      </w:tabs>
    </w:pPr>
  </w:style>
  <w:style w:type="character" w:customStyle="1" w:styleId="FooterChar">
    <w:name w:val="Footer Char"/>
    <w:basedOn w:val="DefaultParagraphFont"/>
    <w:link w:val="Footer"/>
    <w:rsid w:val="00AA324E"/>
    <w:rPr>
      <w:rFonts w:ascii="Arial" w:eastAsia="Times New Roman" w:hAnsi="Arial" w:cs="Times New Roman"/>
      <w:szCs w:val="20"/>
      <w:lang w:val="en-US" w:eastAsia="en-CA"/>
    </w:rPr>
  </w:style>
  <w:style w:type="paragraph" w:styleId="TOC1">
    <w:name w:val="toc 1"/>
    <w:basedOn w:val="Normal"/>
    <w:next w:val="Normal"/>
    <w:autoRedefine/>
    <w:uiPriority w:val="39"/>
    <w:unhideWhenUsed/>
    <w:rsid w:val="00B41BFF"/>
    <w:pPr>
      <w:tabs>
        <w:tab w:val="clear" w:pos="720"/>
        <w:tab w:val="right" w:leader="dot" w:pos="9360"/>
      </w:tabs>
      <w:spacing w:after="100"/>
      <w:ind w:left="720" w:right="360" w:hanging="720"/>
      <w:jc w:val="both"/>
    </w:pPr>
  </w:style>
  <w:style w:type="paragraph" w:styleId="TOC2">
    <w:name w:val="toc 2"/>
    <w:basedOn w:val="Normal"/>
    <w:next w:val="Normal"/>
    <w:autoRedefine/>
    <w:uiPriority w:val="39"/>
    <w:unhideWhenUsed/>
    <w:rsid w:val="005F6971"/>
    <w:pPr>
      <w:tabs>
        <w:tab w:val="clear" w:pos="720"/>
        <w:tab w:val="right" w:leader="dot" w:pos="9350"/>
      </w:tabs>
      <w:spacing w:after="100"/>
      <w:ind w:left="1440" w:hanging="720"/>
    </w:pPr>
  </w:style>
  <w:style w:type="paragraph" w:styleId="TOC3">
    <w:name w:val="toc 3"/>
    <w:basedOn w:val="Normal"/>
    <w:next w:val="Normal"/>
    <w:autoRedefine/>
    <w:uiPriority w:val="39"/>
    <w:unhideWhenUsed/>
    <w:rsid w:val="005F6971"/>
    <w:pPr>
      <w:tabs>
        <w:tab w:val="clear" w:pos="720"/>
        <w:tab w:val="right" w:leader="dot" w:pos="9350"/>
      </w:tabs>
      <w:spacing w:after="100"/>
      <w:ind w:left="1440" w:hanging="720"/>
    </w:pPr>
  </w:style>
  <w:style w:type="character" w:styleId="Hyperlink">
    <w:name w:val="Hyperlink"/>
    <w:basedOn w:val="DefaultParagraphFont"/>
    <w:uiPriority w:val="99"/>
    <w:unhideWhenUsed/>
    <w:rsid w:val="005F6971"/>
    <w:rPr>
      <w:color w:val="0563C1" w:themeColor="hyperlink"/>
      <w:u w:val="single"/>
    </w:rPr>
  </w:style>
  <w:style w:type="paragraph" w:styleId="FootnoteText">
    <w:name w:val="footnote text"/>
    <w:aliases w:val="ALTS FOOTNOTE,fn,Footnote Text 2,Footnote text,FOOTNOTE,Footnote Text Char Char1,ft Char Char,Footnote Text Char3 Char Char,Footnote Text Char2 Char Char Char,Footnote Text Char Char2 Char Char Char,ft Char,ft Char1,Footnote Text Char1 Cha"/>
    <w:basedOn w:val="Normal"/>
    <w:link w:val="FootnoteTextChar"/>
    <w:uiPriority w:val="99"/>
    <w:qFormat/>
    <w:rsid w:val="005A69F0"/>
    <w:pPr>
      <w:widowControl/>
      <w:tabs>
        <w:tab w:val="clear" w:pos="720"/>
      </w:tabs>
    </w:pPr>
    <w:rPr>
      <w:sz w:val="20"/>
    </w:rPr>
  </w:style>
  <w:style w:type="character" w:customStyle="1" w:styleId="FootnoteTextChar">
    <w:name w:val="Footnote Text Char"/>
    <w:aliases w:val="ALTS FOOTNOTE Char,fn Char,Footnote Text 2 Char,Footnote text Char,FOOTNOTE Char,Footnote Text Char Char1 Char,ft Char Char Char,Footnote Text Char3 Char Char Char,Footnote Text Char2 Char Char Char Char,ft Char Char1,ft Char1 Char"/>
    <w:basedOn w:val="DefaultParagraphFont"/>
    <w:link w:val="FootnoteText"/>
    <w:uiPriority w:val="99"/>
    <w:rsid w:val="005A69F0"/>
    <w:rPr>
      <w:rFonts w:ascii="Arial" w:eastAsia="Times New Roman" w:hAnsi="Arial" w:cs="Times New Roman"/>
      <w:sz w:val="20"/>
      <w:szCs w:val="20"/>
      <w:lang w:val="en-US" w:eastAsia="en-CA"/>
    </w:rPr>
  </w:style>
  <w:style w:type="character" w:styleId="FootnoteReference">
    <w:name w:val="footnote reference"/>
    <w:aliases w:val="(NECG) Footnote Reference,fr,o,Style 6,Style 20,FR,Style 3,Appel note de bas de p,Style 12,Style 124,Style 17,Style 13,callout,Footnote Reference/,Style 30,FC,Style 52,Style 34,Style 28,Style 25,Style 33,Style 38,Sty"/>
    <w:uiPriority w:val="99"/>
    <w:qFormat/>
    <w:rsid w:val="005A69F0"/>
    <w:rPr>
      <w:vertAlign w:val="superscript"/>
    </w:rPr>
  </w:style>
  <w:style w:type="paragraph" w:styleId="ListParagraph">
    <w:name w:val="List Paragraph"/>
    <w:basedOn w:val="Normal"/>
    <w:uiPriority w:val="34"/>
    <w:qFormat/>
    <w:rsid w:val="005A69F0"/>
    <w:pPr>
      <w:widowControl/>
      <w:tabs>
        <w:tab w:val="clear" w:pos="720"/>
      </w:tabs>
      <w:ind w:left="720"/>
      <w:contextualSpacing/>
    </w:pPr>
    <w:rPr>
      <w:szCs w:val="24"/>
    </w:rPr>
  </w:style>
  <w:style w:type="paragraph" w:styleId="BalloonText">
    <w:name w:val="Balloon Text"/>
    <w:basedOn w:val="Normal"/>
    <w:link w:val="BalloonTextChar"/>
    <w:uiPriority w:val="99"/>
    <w:semiHidden/>
    <w:unhideWhenUsed/>
    <w:rsid w:val="00EC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E3"/>
    <w:rPr>
      <w:rFonts w:ascii="Segoe UI" w:eastAsia="Times New Roman" w:hAnsi="Segoe UI" w:cs="Segoe UI"/>
      <w:sz w:val="18"/>
      <w:szCs w:val="18"/>
      <w:lang w:val="en-US" w:eastAsia="en-CA"/>
    </w:rPr>
  </w:style>
  <w:style w:type="paragraph" w:customStyle="1" w:styleId="Default">
    <w:name w:val="Default"/>
    <w:rsid w:val="005579FD"/>
    <w:pPr>
      <w:autoSpaceDE w:val="0"/>
      <w:autoSpaceDN w:val="0"/>
      <w:adjustRightInd w:val="0"/>
      <w:spacing w:after="0" w:line="240" w:lineRule="auto"/>
    </w:pPr>
    <w:rPr>
      <w:rFonts w:ascii="Century Schoolbook" w:eastAsia="MS Mincho" w:hAnsi="Century Schoolbook" w:cs="Century Schoolbook"/>
      <w:color w:val="000000"/>
      <w:sz w:val="24"/>
      <w:szCs w:val="24"/>
      <w:lang w:eastAsia="en-CA"/>
    </w:rPr>
  </w:style>
  <w:style w:type="character" w:styleId="CommentReference">
    <w:name w:val="annotation reference"/>
    <w:basedOn w:val="DefaultParagraphFont"/>
    <w:uiPriority w:val="99"/>
    <w:semiHidden/>
    <w:unhideWhenUsed/>
    <w:rsid w:val="00E35DB5"/>
    <w:rPr>
      <w:sz w:val="16"/>
      <w:szCs w:val="16"/>
    </w:rPr>
  </w:style>
  <w:style w:type="paragraph" w:styleId="CommentText">
    <w:name w:val="annotation text"/>
    <w:basedOn w:val="Normal"/>
    <w:link w:val="CommentTextChar"/>
    <w:uiPriority w:val="99"/>
    <w:semiHidden/>
    <w:unhideWhenUsed/>
    <w:rsid w:val="00E35DB5"/>
    <w:rPr>
      <w:sz w:val="20"/>
    </w:rPr>
  </w:style>
  <w:style w:type="character" w:customStyle="1" w:styleId="CommentTextChar">
    <w:name w:val="Comment Text Char"/>
    <w:basedOn w:val="DefaultParagraphFont"/>
    <w:link w:val="CommentText"/>
    <w:uiPriority w:val="99"/>
    <w:semiHidden/>
    <w:rsid w:val="00E35DB5"/>
    <w:rPr>
      <w:rFonts w:ascii="Arial" w:eastAsia="Times New Roman" w:hAnsi="Arial"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C37E5F"/>
    <w:rPr>
      <w:b/>
      <w:bCs/>
    </w:rPr>
  </w:style>
  <w:style w:type="character" w:customStyle="1" w:styleId="CommentSubjectChar">
    <w:name w:val="Comment Subject Char"/>
    <w:basedOn w:val="CommentTextChar"/>
    <w:link w:val="CommentSubject"/>
    <w:uiPriority w:val="99"/>
    <w:semiHidden/>
    <w:rsid w:val="00C37E5F"/>
    <w:rPr>
      <w:rFonts w:ascii="Arial" w:eastAsia="Times New Roman" w:hAnsi="Arial" w:cs="Times New Roman"/>
      <w:b/>
      <w:bCs/>
      <w:sz w:val="20"/>
      <w:szCs w:val="20"/>
      <w:lang w:val="en-US" w:eastAsia="en-CA"/>
    </w:rPr>
  </w:style>
  <w:style w:type="character" w:styleId="FollowedHyperlink">
    <w:name w:val="FollowedHyperlink"/>
    <w:basedOn w:val="DefaultParagraphFont"/>
    <w:uiPriority w:val="99"/>
    <w:semiHidden/>
    <w:unhideWhenUsed/>
    <w:rsid w:val="00DF0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rtc.gc.ca/pubs/cmr_broadcasting_2022-en.pdf" TargetMode="External"/><Relationship Id="rId2" Type="http://schemas.openxmlformats.org/officeDocument/2006/relationships/hyperlink" Target="https://laws.justice.gc.ca/eng/regulations/SOR-2023-23/" TargetMode="External"/><Relationship Id="rId1" Type="http://schemas.openxmlformats.org/officeDocument/2006/relationships/hyperlink" Target="https://laws-lois.justice.gc.ca/eng/acts/b-9.01/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A265-0DEB-47D6-B963-A1A767BA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2024-05-16T14:37:00Z</dcterms:created>
  <dcterms:modified xsi:type="dcterms:W3CDTF">2024-05-16T14:38:00Z</dcterms:modified>
</cp:coreProperties>
</file>